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11 de febrero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17 de enero de 2013 ha tenido entrada en este Tribunal el recurso de amparo, registrado con el núm. 299-2013, interpuesto por don Francisco de Asís Serrano Castro, contra las Sentencias penales que le condenaron inicialmente por un delito de prevaricación imprudente en la Sentencia dictada por la Sala de lo Civil y Penal del Tribunal Superior de Justicia de Andalucía, con sede en Granada, de fecha 13 de octubre de 2011 y posteriormente por un delito de prevaricación dolosa en Sentencia de la Sala Segunda del Tribunal Supremo de fecha 29 de junio de 2012, con posterior incidente de nulidad de actuaciones de 30 de octubre de 2012. Dicho recurso ha sido turnado a la Sección Primera del Tribunal Constitucional del que he sido designado ponente.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fecha 31 de marzo de 2011, fue ponente como Magistrado de la Sala Tercera del Tribunal Supremo de una Sentencia que tenía por objeto el recurso contencioso-administrativo interpuesto contra el acuerdo adoptado el 6 de julio de 2010 por la comisión disciplinaria del Consejo General del Poder Judicial en la información previa núm. 396-2010 seguida contra el ahora demandante de amparo, en aquel entonces Magistrado-Juez titular del Juzgado de Primera Instancia núm. 7 de Sevilla.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conocimiento del mencionado recurso contencioso-administrativo tenía como objeto la impugnación del acuerdo del Consejo General del Poder Judicial por el que se archivaba la información previa seguida contra el demandante de amparo como consecuencia de haber dictado el Auto de 30 de marzo de 2010 por el que luego fue condenado por las resoluciones que ahora impugna.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Juan José González Rivas, Magistrado de este Tribunal, en virtud de lo previsto en los artículos 80 de la Ley Orgánica del Tribunal Constitucional y 219.13 de la Ley Orgánica del Poder Judicial, que en su literalidad obliga a la abstención cuando con ocasión de haber ocupado un cargo público o desempeñado empleo o ejercido profesión se haya participado en un asunto relacionado con el objeto del pleito o causa, procede estimar la causa de abstención formulada.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la causa de abstención formulada por don Juan José González Rivas en el recurso de amparo núm. 299-2013, apartándole definitivamente del conocimiento del asunto.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