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febrero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 de julio de 2012, el Procurador de los Tribunales don Argimiro Vázquez Guillén, en nombre y representación de la entidad Eurohueco, S.A., y bajo la dirección del Letrado don Jorge Herranz Piñón, interpuso demanda de amparo contra Auto de la Sección Primera de la Sala de lo Contencioso-Administrativo del Tribunal Supremo en recurso de casación núm. 197-2011 contra la Sentencia de la Sección Séptima de la Sala de igual orden de la Audiencia Nacional en procedimiento ordinario núm. 964-2006.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5 de febrero de 2013,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 (artículo 80), al haber intervenido en instancia anterior, toda vez que en su condición de Magistrado de la Sala de lo Contencioso-Administrativo del Tribunal Supremo formó parte de la Sección Primera de la Sala Tercera del Tribunal Supremo, que dictó el Auto de 3 de noviembre de 2011, que ha sido recurrido en el recurso de amparo núm. 4014-2012.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4014-2012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trece de febrero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