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mayo de 2012 tuvo entrada en el Registro General de este Tribunal oficio de la Sección Segunda de la Sala de lo Contencioso-Administrativo del Tribunal Superior de Justicia de Madrid, al que se acompaña, junto con el testimonio del recurso de apelación núm. 909-2010 que se tramita ante dicha Sala, el Auto de 30 de marzo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Decreto de 30 julio de 2008 (confirmado en reposición por resolución de 2 de abril de 2009), el Delegado de Área de Gobierno de Seguridad y Movilidad del Ayuntamiento de Madrid impuso una sanción de 2.000 euros a un taxista, con suspensión de la licencia de auto-taxi durante seis meses, por esperar y recoger viajeros fuera de la parada oficial; lo que constituye infracción administrativa conforme al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las referidas resoluciones el interesado interpuso recurso contencioso-administrativo, que fue desestimado por Sentencia de 19 de mayo de 2010 del Juzgado de lo Contencioso-Administrativo núm. 20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(recurso núm. 909-2010). La Sección Segunda de la Sala de lo Contencioso-Administrativo del Tribunal Superior de Justicia de Madrid, por providencia de 16 de febrero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Ayuntamiento de Madrid formuló alegaciones aduciendo que, en su opinión, no procedía plantear la cuestión de inconstitucionalidad. Por el contrario, el Ministerio Fiscal y la parte recurrente estimaron pertinente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30 de marzo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ex novo de obligaciones o prohibiciones cuya contravención da origen a una infracción sancionable; en efecto, el inciso inicial del referido art. 16.2 b) dispone que “tendrá la consideración de infracción grave el incumplimiento de las condiciones esenciales de la licencia, salvo que deba considerarse como infracción muy grave”, y establece seguidamente —en el apartado 7 del mismo precepto— que entre esas condiciones esenciales se incluirán, además de las expresamente previstas en el mismo precepto, “cualesquiera otras que puedan establecerse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junio de 2012 el Pleno del Tribunal Constitucional acordó admitir a trámite la cuestión de inconstitucionalidad y deferir el conocimiento de la misma a la Sala Primera, a la que por turno objetivo le había correspondido; a la vez, de conformidad con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registrado en este Tribunal el 28 de junio de 2012, comunicó que la Cámara había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4 de julio de 2012, la Letrada de la Comunidad de Madrid se personó en este proceso en representación del Gobierno de dicha Comunidad Autónoma y formuló alegaciones, interesando que se dicte Sentencia que declare la constitucionalidad del precepto cuestionado, por entender que no infringe el principio de legalidad sancionadora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presentado en el Registro General de este Tribunal el 6 de julio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vulnera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13 de julio de 2012, el Presidente de la Asamblea de la Comunidad de Madrid comunicó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Presidente del Senado, mediante escrito registrado en este Tribunal el 13 de julio de 2012, comunicó que dicha Cámara había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presentó su escrito de alegaciones en este Tribunal el 19 de julio de 2012, razonando que el precepto legal cuestionado contiene una remisión en blanco a la potestad reglamentaria, que vulnera el principio de legalidad sancionadora del art. 25.1 CE. En consecuencia, interesó que se declarase la inconstitucionalidad y nulidad del apartado 7 del art. 16.2 b) de la Ley de la Asamblea de Madrid 20/1998.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3154-2012,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