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agosto de 2012 tuvo entrada en el Registro General de este Tribunal oficio de la Sección Segunda de la Sala de lo Contencioso-Administrativo del Tribunal Superior de Justicia de Madrid, al que se acompaña, junto con el testimonio del recurso de apelación núm. 214-2011 que se tramita ante dicha Sala, el Auto de 27 de junio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 9 de octubre de 2008 (confirmada en reposición por resolución de 2 de abril de 2009), el Delegado de Área de Gobierno de Seguridad y Movilidad del Ayuntamiento de Madrid impuso una sanción de 2.000 euros a un taxista, con suspensión de la licencia de auto-taxi durante seis meses, por infracción del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 y ello como consecuencia de la denuncia formulada por agentes municipales por “cargar viajeros fuera de la 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las referidas resoluciones el interesado interpuso recurso contencioso-administrativo, que fue desestimado por Sentencia de 18 de octubre de 2010 del Juzgado de lo Contencioso-Administrativo núm. 18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(recurso núm. 214-2011). La Sección Segunda de la Sala de lo Contencioso-Administrativo del Tribunal Superior de Justicia de Madrid, por providencia de 7 de junio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Ayuntamiento de Madrid formuló alegaciones aduciendo que, en su opinión, no procedía plantear la cuestión de inconstitucionalidad. Por el contrario, el Ministerio Fiscal estimó pertinente su planteamiento. La parte recurrente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27 de junio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ex novo de obligaciones o prohibiciones cuya contravención da origen a una infracción sancionable; en efecto, el inciso inicial del referido art. 16.2 b) dispone que “tendrá la consideración de infracción grave el incumplimiento de las condiciones esenciales de la licencia, salvo que deba considerarse como infracción muy grave”, y establece seguidamente —en el apartado 7 del mismo precepto— que entre esas condiciones esenciales se incluirán, además de las expresamente previstas en el mismo precepto, “cualesquiera otras que puedan establecerse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septiembre de 2012 el Pleno del Tribunal Constitucional acordó admitir a trámite la cuestión de inconstitucionalidad y deferir el conocimiento de la misma a la Sala Primera, a la que por turno objetivo le había correspondido; a la vez, de conformidad con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en este Tribunal el 4 de octubre de 2012, comunicó que dicha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presentado en el registro general de este Tribunal el 5 de octubre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vulnera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el Registro General de este Tribunal el 8 de octubre de 2012, la Letrada de la Comunidad de Madrid se personó en este proceso en representación del Gobierno de dicha Comunidad Autónoma y formuló alegaciones, interesando igualmente que se dictase Sentencia que declare la constitucionalidad del precepto cuestionado, por entender que no infringe el principio de legalidad sancionadora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10 de octubre de 2012, el Presidente de la Asamblea de la Comunidad de Madrid comunicó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Presidente del Congreso de los Diputados, mediante escrito registrado en este Tribunal el 15 de octubre de 2012, comunicó a su vez que la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en este Tribunal el 25 de octubre de 2012, razonando que el precepto legal cuestionado contiene una remisión en blanco a la potestad reglamentaria, que vulnera el principio de legalidad sancionadora del art. 25.1 CE. En consecuencia, interesa que se declare la inconstitucionalidad y nulidad del apartado 7 del art. 16.2 b) de la Ley de la Asamblea de Madrid 20/1998.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4840-2012,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