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septiembre de 2012 tuvo entrada en el Registro General de este Tribunal oficio de la Sección Segunda de la Sala de lo Contencioso-Administrativo del Tribunal Superior de Justicia de Madrid, al que se acompaña, junto con el testimonio del recurso de apelación núm. 778-2010 que se tramita ante dicha Sala, el Auto de 2 de julio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Delegado de Área de Gobierno de Seguridad y Movilidad del Ayuntamiento de Madrid de 27 de noviembre de 2007 se impuso una sanción de 2.000 euros a un taxista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por incumplimiento de las condiciones de prestación del servicio relativas al régimen de paradas, al haber esperado y recogido viajeros fuera de la parada oficial. Este acto administrativo fue recurrido en reposición, recurso que fue desestimado por resolución del Delegado de Área de Gobierno de Seguridad y Movilidad del Ayuntamiento de Madrid de 5 de septiembre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las referidas resoluciones el interesado interpuso recurso contencioso-administrativo, que fue estimado por Sentencia de 31 de marzo de 2010 del Juzgado de lo Contencioso-Administrativo núm. 10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(recurso núm. 778-2010). La Sección Segunda de la Sala de lo Contencioso-Administrativo del Tribunal Superior de Justicia de Madrid, por providencia de 7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Ayuntamiento de Madrid formuló alegaciones aduciendo que, en su opinión, no procedía plantear la cuestión de inconstitucionalidad. Por el contrario, la parte recurrente y el Ministerio Fiscal estimaron pertinente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 de julio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ex novo de obligaciones o prohibiciones cuya contravención da origen a una infracción sancionable, al disponer el inciso inicial del referido art. 16.2 b) que “tendrá la consideración de infracción grave el incumplimiento de las condiciones esenciales de la licencia, salvo que deba considerarse como infracción muy grave”, y establecer seguidamente —en el apartado 7 del mismo precepto— que entre esas condiciones esenciales se incluirán, además de las expresamente previstas en el mismo precepto , “cualesquiera otras que puedan establecerse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octubre de 2012 el Pleno del Tribunal Constitucional acordó admitir a trámite la cuestión de inconstitucionalidad y deferir el conocimiento de la misma a la Sala Segunda, a la que por turno objetivo le ha correspondido; asimismo se acordó, de conformidad con lo establecido en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se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registrado en este Tribunal el 17 de octubre de 2012, comunicó que la Cámara ha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en este Tribunal el 17 de octubre de 2012 comunicó a su vez que dicha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 la Asamblea de la Comunidad de Madrid comunicó al Tribunal el 25 de octubre de 2012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por escrito presentado en el Registro General de este Tribunal el 25 de octubre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puede estimarse que vulnere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registro general de este Tribunal el 29 de octubre de 2012, la Letrada de la Comunidad de Madrid se personó en este proceso en representación del Gobierno de la Comunidad de Madrid y formuló alegaciones, interesando que se dicte Sentencia declarando la constitucionalidad del precepto cuestionado, por entender que no infringe el principio de legalidad sancionadora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12 de noviembre de 2012,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20/1998, de 27 de noviembre, de ordenación y coordinación de los transportes urbanos de la Comunidad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precepto que ha sido declarado inconstitucional y nulo por la STC 13/2013, de 28 de enero (que resuelve la cuestión de inconstitucionalidad núm. 5371-2011, promovida por el mismo órgano judicial. Se sigue de ello que, una vez anulado por inconstitucional, el precepto cuestionado ha sido expulsado del ordenamiento jurídico, lo que impone ahora apreciar, conforme a reiterada doctrina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4951-2012,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