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diciembre de 2012 tuvo entrada en el Registro General de este Tribunal oficio de la Sección Segunda de la Sala de lo Contencioso-Administrativo del Tribunal Superior de Justicia de Madrid, al que se acompaña, junto con el testimonio del recurso de apelación núm. 823-2011 que se tramita ante dicha Sala, el Auto de 24 de octubre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del Delegado de Área de Gobierno de Seguridad y Movilidad del Ayuntamiento de Madrid de 29 de febrero de 2008 se impuso una sanción de 2.000 euros a un taxista por infracción del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 por incumplimiento de las condiciones de prestación del servicio relativas al régimen de paradas, al haber esperado y recogido viajeros fuera de la parada oficial. Este acto administrativo fue recurrido en reposición, recurso que fue desestimado por resolución del Delegado de Área de Gobierno de Seguridad y Movilidad del Ayuntamiento de Madrid de 17 de febrero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las referidas resoluciones el interesado interpuso recurso contencioso-administrativo, que fue desestimado por Sentencia de 21 de febrero de 2011 del Juzgado de lo Contencioso-Administrativo núm. 9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(recurso núm. 823-2011). La Sección Segunda de la Sala de lo Contencioso-Administrativo del Tribunal Superior de Justicia de Madrid, por providencia de 8 de junio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Ayuntamiento de Madrid formuló alegaciones aduciendo que, en su opinión, no procedía plantear la cuestión de inconstitucionalidad. Por el contrario, la parte recurrente y el Ministerio Fiscal estimaron pertinente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octubre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ex novo de obligaciones o prohibiciones cuya contravención da origen a una infracción sancionable, al disponer el inciso inicial del referido art. 16.2 b) que “tendrá la consideración de infracción grave el incumplimiento de las condiciones esenciales de la licencia, salvo que deba considerarse como infracción muy grave”, y establecer seguidamente —en el apartado 7 del mismo precepto— que entre esas condiciones esenciales se incluirán, además de las expresamente previstas en el mismo precepto , “cualesquiera otras que puedan establecerse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diciembre de 2012 el Pleno del Tribunal Constitucional acordó admitir a trámite la cuestión de inconstitucionalidad y deferir el conocimiento de la misma a la Sala Primera, a la que por turno objetivo le ha correspondido; asimismo se acordó, de conformidad con lo establecido en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se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28 de diciembre de 2012, la Letrada de la Comunidad de Madrid se personó en este proceso en representación del Gobierno de la Comunidad de Madrid y formuló alegaciones, interesando que se dicte Sentencia que declare la constitucionalidad del precepto cuestionado, por entender que no infringe el principio de legalidad sancionadora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 la Asamblea de la Comunidad de Madrid comunicó al Tribunal el 9 de enero de 2013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presentado en el Registro General de este Tribunal el 9 de enero de 2013, se personó y formuló alegaciones, interesando igualmente la desestimación de la presente cuestión, por entender que la colaboración del Reglamento para deslindar condiciones esenciales y no esenciales de las licencias o autorizaciones de auto-taxi reguladas por la Ley de Madrid 20/1998, no puede estimarse que vulnere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Presidente del Senado, mediante escrito registrado en este Tribunal el 11 de enero de 2013, comunicó que dicha Cámara ha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Presidente del Congreso de los Diputados, mediante escrito registrado en este Tribunal el 14 de enero de 2013, comunicó a su vez que la Cámara ha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en este Tribunal el 21 de enero de 2013, razonando que el precepto legal cuestionado contiene una remisión en blanco a la potestad reglamentaria, que vulnera el principio de legalidad sancionadora del art. 25.1 CE. En consecuencia, interesa que se declare la inconstitucionalidad y nulidad del apartado 7 del art. 16.2 b) de la Ley de la Asamblea de Madrid 20/1998.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6807-2012,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