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11 de marzo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Ramón Rodríguez Arribas, Presidente, don Pablo Pérez Tremps, don Francisco José Hernando Santiago, don Luis Ignacio Ortega Álvarez, don Francisco Pérez de los Cobos Orihuel y doña Encarnación Roca Trías,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7271-2010, promovido por la entidad General de Galerías Comerciales, S.A., representada por la Procuradora de los Tribunales doña María Luz Albacar Medina y asistida por el Abogado don Antonio Ruiz Villén, contra Sentencia de la Sala de lo Civil del Tribunal Supremo, de 30 de abril de 2010 y contra providencia de la misma Sala, de 13 de julio de 2010, inadmitiendo incidente de nulidad de actuaciones promovido contra dicha Sentencia. Ha actuado como parte demandada la empresa Centros Comerciales Carrefour, S.A., representada por la Procuradora doña Lourdes Fernández-Luna Tamayo y defendida por el Abogado don Joaquín María Almoguera Valencia. Ha intervenido el Ministerio Fiscal.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8 de octubre de 2010, la Procuradora de los Tribunales doña María Luz Albacar Medina interpuso demanda de amparo contra las resoluciones a las que se ha hecho referencia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Centros Comerciales Pryca, S.A., consignó escrito de demanda el 16 de septiembre de 1996 ante los Juzgados de Primera Instancia de Marbella, en acción de reclamación de cantidad por daños y perjuicios derivados de incumplimiento contractual contra la entidad aquí recurrente de amparo. La actora alegaba que estando interesada en la explotación de un hipermercado en el término municipal de Marbella había acudido a la demandada en su calidad de promotora de esta clase de establecimientos, la que a su vez se hallaba en trámites con el Ayuntamiento de Marbella para la permuta de unos terrenos donde se levantaría un centro comercial dentro del cual se situaría el hipermercado objeto del pacto, segregando esta última como finca independiente. Tras una serie de negociaciones mantenidas con sus responsables, prosigue narrando la demanda de instancia, el día 2 de agosto de 1995 la promotora demandada y la constructora EMASA remitieron a la actora un fax por el que se confirmaba “el total, pleno y definitivo acuerdo que se había alcanzado para la venta a mi representada del cajón Hipermercado objeto de la presente demanda”, fax que se aportó como documento núm. 7 de dicha demanda y que se titula “Marbella. Calendario de Pagos”. Como parte de los acuerdos alcanzados, añade, entregó a la demandada “un anticipo o financiación para la construcción del Hipermercado” el cual quedó documentado en un “contrato de préstamo sin interés, otorgado entre las partes en 21 de septiembre de 1995”, con fecha de vencimiento 3 de enero de 1996 (documento núm. 11 de la demanda), si bien la misma se pospuso en varias ocasiones por la falta de adjudicación a la promotora de los terrenos, fijándose una última prórroga para el 16 de septiembre de 1996 (documentos 12 y 13). El precio total de la operación era por importe de dos mil setecientos millones de pesetas (2.700.000.000 pesetas.), de los que dos mil millones (2.000.000.000 pesetas.) debían entregarse a la vendedora en el acto de otorgamiento de las escrituras públicas y “el resto hasta alcanzar el total precio debía satisfacerse de acuerdo con los porcentajes reflejados y acordados en el referido fax, a medida que se alcanzaran distintos niveles de obra de construcción, que lógicamente si se había ya alcanzado al otorgamiento de la escritura pública de formalización de la venta, se añadirían al pago previsto en el apartado 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la demanda de instancia que ante los retrasos de la promotora en otorgar la escritura, llevó a cabo contra ésta un requerimiento por vía notarial el 9 de septiembre de 1996, con entrega de carta de 6 de septiembre (documento núm. 56) por la que le exigía cumpliera con sus obligaciones. Asimismo y dado que el préstamo había sido garantizado mediante aval (compromiso de pago a primer requerimiento) expedido a su favor por el Banco Exterior de España el 20 de septiembre de 1995 (mismo documento núm. 11), también objeto de varias prórrogas, la actora decidió hacerlo efectivo “en protección de sus más legítimos intereses, el reembolso por el Banco garante de los 800 millones de pesetas objeto de la financiación expresada, ya que la referida garantía vencía a todos sus efectos en el día de hoy [16 de septiembre de 1996]”; ejecución del aval del que ya advertía en la propia carta de 6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pedía la condena a la demandada a terminar las obras del hipermercado, otorgar a su favor las correspondientes escrituras y a indemnizar a la actora “en el importe de los daños y perjuicios ocasionados, a determinar su importe en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Admitida la demanda por el Juzgado de Primera Instancia núm. 4 de Marbella (juicio de mayor cuantía núm. 281-1996), la entidad aquí recurrente presentó escrito de contestación a la demanda, invocando la excepción procesal de litisconsorcio pasivo necesario por no demandarse a la entidad EMASA y, en cuanto al fondo, oponiéndose a lo pretendido, negando que existiera contrato de compraventa y defendiendo en todo caso la autonomía del contrato de préstamo por los ochocientos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Abierto trámite de réplica previsto entonces para esta clase de procedimiento por la Ley de enjuiciamiento civil (LEC) de 1881, la actora presentó escrito de 17 de enero de 1997 señalando que ante el conocimiento de que el cajón hipermercado había sido vendido a otra entidad (Alcampo, S.A.), cuantificó las distintas partidas de daños y perjuicios, entre ellas una por mil cien millones de pesetas (1.100.000.000 pesetas) en concepto de daño emergente, resultado de deducir del importe de la venta descubierta del hipermercado (tres mil ochocientos millones), el total de lo pactado en el contrato suscrito entre ambas (los dos mil setecientos millones).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dictó Sentencia el 30 de junio de 1998 desestimando íntegramente la demanda, declarando probado (fundamento cuarto) que existieron dos contratos distintos: (i) el de préstamo suscrito por ochocientos millones mediante convenio privado el 21 de septiembre de 1995, sujeto a varias fechas de vencimiento hasta que el 16 de septiembre de 1996 cuando la actora ejecutó su derecho de reembolso; (ii) y el de venta del cajón hipermercado en los términos que refleja aquel documento núm. 7, habiendo aceptado la demandada la oferta de la actora en la que especificaba el objeto del mismo y el precio. Se declara asimismo probado que ni la vendedora entregó la finca ni la compradora abonó el precio, sin que pueda considerarse parte de este último los ochocientos millones ya citados, teniendo en cuenta lo confesado en juicio por el representante legal de Pryca, S.A., quien reconoce que no se había entregado ninguna cantidad a cuenta del precio de la compraventa, así como del examen de la contabilidad de dicha empresa en cuanto al asiento de la operación del préstamo. A partir de estos datos probatorios, colige el Juzgado que hubo incumplimiento por ambas partes de sus respectivas obligaciones, desestimando íntegramente la demanda e imponiendo las costas a la demandada, lo que se corrigió por Auto de rectificación de error material el 2 de julio de 1998, imponiéndolas a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nuevo Auto de 8 de julio de 1998 y a instancia de esta última parte, se aclaró la Sentencia modificando el fallo para decir que se estimaba la demanda en la concreta petición declarativa de la existencia del contrato de compraventa, aunque “sin haber lugar al resto de los pedimentos interesados en el suplico del escrito expositivo inicial, y todo ello con expresa condena en costas a la significada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Centros Comerciales Pryca, S.A., apeló la Sentencia. Del recurso conoció la Sección Quinta de la Audiencia Provincial de Málaga (rollo núm. 718-1998), que el 4 de noviembre de 2003 dictó Sentencia desestimatoria del mismo confirmando la resolución recurrida, si bien declaró la nulidad del Auto de 8 de julio de 1998 al entender que éste no aclaraba sino que rectificaba erróneamente la Sentencia, al considerar como petición autónoma lo que no pasaba de ser un mero presupuesto de la acción de condena ejercitada (fundamento de Derecho cuarto). En cuanto al fondo y en lo que importa destacar, la Sección juzgadora señala en su fundamento de Derecho quinto, que “tras el estudio de la prueba practicada, y en especial de la documental acompañada de los escritos de demanda y contestación … es correcta y acertada la relación de hechos probados que contiene la sentencia recurrida”, manteniendo también el enfoque jurídico de absolver de la demanda al constatar el incumplimiento de las respectivas obligaciones por ambas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Interpuestos recursos de casación y extraordinario por infracción procesal por la actora contra la resolución de apelación, la Sala de lo Civil del Tribunal Supremo dictó Sentencia el 30 de abril de 2010 (recurso núm. 118-2004) declarando haber lugar a los mismos, revocando las dictadas en instancia con estimación parcial de la demanda formulada y condenando a la entidad demandada por incumplimiento de contrato, debiendo indemnizar a la actora en la suma “del equivalente en euros de mil cien millones de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interesa a este amparo, el fundamento quinto de la Sentencia entra a resolver y estima el recurso extraordinario por infracción procesal, en concreto por infracción de los arts. 1218 y 1225 del Código civil, en relación con los arts. 319 y 326 LEC, error en la valoración de la prueba documental, diciendo: “A la compradora se le reprocha no haber cumplido con su obligación previa y contractual de adelantar parte del precio, sin tener en cuenta el escrito que la mercantil demandada remitió a la actora el día 2 de Agosto de 1.995. Se trata de lo que ambas partes califican de ‘calendario de pagos’, al que sin duda se relaciona el adelanto, vía préstamo, de los 800.000.000 de pesetas que la compradora entregó a la vendedora un mes después de haber realizado la oferta y que la sentencia califica como un anticipo o señal del precio de la compraventa vinculado, por tanto, al contrato de compraventa del hipermercado, puesto que en la realidad, contrastada mediante dicho documento, venía a cubrir el importe total de las diversas etapas constructivas iniciadas y señaladas en el meritado calendario. Esta prueba contradice de forma evidente los argumentos que, faltos de absoluta lógica, violentan la normalidad contractual con relación al pago puesto que prestamista y prestatario se encontraban vinculados por un contrato de compraventa en el que el comprador asume el compromiso de pagar unas cantidades por la construcción del hipermercado al comenzar las obras (posteriormente renovado), lo cual pone en evidencia el pago que deriva del citado documento y que es perfectamente coherente con el requerimiento notarial dirigido por PRYCA a la vendedora el 9 de septiembre de 1996 para el cumplimiento de su obligación de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este pronunciamiento la Sala entra a resolver el recurso de casación interpuesto en el fundamento sexto, razonando que “la compradora entregó la suma de ochocientos millones de pesetas instrumentada en forma del préstamo como anticipo del precio, cubriendo de esa forma el importe total de las diversas etapas constructivas señaladas en el calendario de pagos. Consecuencia de lo cual es que no debía más cantidad que la restante de 2.000.000 de pesetas que, conforme a dicho calendario, debía satisfacerse en el momento que se concediera a la entidad demandada la Licencia de Construcción y que se otorgara escritura de Declaración de Obra Nueva y División en Régimen de Propiedad Horizontal, ‘donde Centros Comerciales PRYCA quedaría propietaria de la finca destinada a Hipermercado’, previa deducción de cien millones entregados de más”. La Sala sostiene que existe incumplimiento de la vendedora pero no de la compradora, “habida cuenta que entregó 800.000.000 de pesetas al iniciarse la construcción del cajón hipermercado, anticipando con exceso el pago de las distintas partidas referidas en el calendario; exceso que también se tuvo en cuenta en el calendario. Y si no pagó la cantidad restante de 2.000 millones de pesetas fue porque no había surgido dicha obligación, pues … en ningún momento se produjo el otorgamiento de la escritura pública de compraventa a favor de la recurrente, pese a haber sido requerida notarialmente para ello, ni pudo este producirse al haberse transmitido el objeto vendido”.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Accediendo a lo solicitado por la actora en la instancia, “en la forma que se concretó en el escrito de réplica”, la Sentencia entra a cuantificar el perjuicio derivado del incumplimiento de la vendedora, rechazando la condena por lucro cesante (esto es, la “pérdida del negocio que comportaba la adquisición del local”) pero acordándola por daño emergente, equivalente a “la plusvalía que le ha originado la venta a un tercero del Cajón Hipermercado, estimada en la diferencia del valor que tenía la cosa objeto de la compraventa —2.700 millones de pesetas—, y lo que pagó la nueva compradora —3.800 millones de pesetas—, es decir, 1.100 millones” (fundamento séptimo).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aquí recurrente promovió incidente de nulidad de actuaciones por vulneración del derecho a la tutela judicial efectiva (art. 24.1 CE) en sus vertientes de motivación y derecho a una resolución jurídicamente 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respuesta, la Sala dictó providencia de inadmisión a trámite el 13 de julio de 2010, señalando lo que sigue: “[N]o ha lugar a admitir a trámite el incidente instado, puesto que según se evidencia por la argumentación de la petición de nulidad efectuada en la que se denuncia la vulneración del derecho a la tutela judicial efectiva en su vertiente de derecho a una resolución motivada, dicha solicitud no tiene más fundamento que mostrar la disconformidad de la parte con la fundamentación de la Sentencia que, como consecuencia de una nueva apreciación fáctica derivada de la revisión de la valoración probatoria, declara la existencia de un contrato de compraventa y su resolución por incumplimiento de la parte vendedora con la consiguiente indemnización del daño derivado de la frustración del incremento patrimonial que hubiera experimentado la entidad compradora, planteamiento que queda debidamente exteriorizado y justificado en derecho sin que, más allá de su no aceptación, suponga una motivación arbitraria. De este forma, la denuncia que se realiza a través del incidente tiene una mera finalidad instrumental.”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 Sentencia dictada en casación produce la vulneración del derecho a la tutela judicial efectiva (art. 24.1 CE) en sus vertientes de derecho a la motivación de las resoluciones judiciales y a obtener una decisión fundada en Derecho, señalando que contiene una “motivación arbitraria e irrazonable, que hace abstracción de las pruebas obrantes en autos y del derecho que le es aplicable, alcanzando una conclusión de todo punto estrambótica e incomprensible”. Considera que la Sala ha contradicho su doctrina general acerca de la improcedencia de revisar en casación los hechos probados y la interpretación de los contratos realizada por los tribunales de instancia, con el resultado de una valoración absurda de la prueba, en cuanto a considerar que los ochocientos millones de pesetas sirvieron como anticipo para cubrir las diversas etapas constructivas señaladas en el calendario de pagos, sin “ningún elemento o material probatorio en el que basa su opinión”, pues las cantidades entregadas en concepto de préstamo no pueden ser imputadas a un pago salvo que las partes novasen el negocio, lo que no ocurrió, hasta el punto, añade, que el préstamo fue devuelto.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segundo motivo del recurso, considera la demanda de amparo que la Sentencia de casación incurre en lesión del art. 24.1 CE, en las dos vertientes indicadas (motivación y resolución fundada), por fijar la cantidad de mil cien millones de pesetas en concepto de indemnización por daño emergente mediante un razonamiento erróneo y arbitrario, que no pasa de ser una mera elucubración y que ni siquiera es realista por no tener en cuenta las cargas fiscales y otros gastos que hubiera generado la propia operación de compraventa; aparte de que en el suplico de la demanda de primera instancia la actora no solicitó que se cuantificaran los daños en sentencia sino en trámite de su ejecución, lo que produce también lesión del derecho a la tutela judicial efectiva, Tercer motivo del recurso, por incongruencia extra petitum.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queja la demanda de amparo, en un motivo que califica de “subsidiario” de los tres anteriores, de la “escasa o nula relevancia” que ha tenido para la Sala de lo Civil del Tribunal Supremo la interposición del incidente de nulidad de actuaciones promovido contra su Sentencia, a pesar de la reforma que dicho mecanismo de tutela de derechos fundamentales ha experimentado con la Ley Orgánica 6/2007, de 24 de mayo, potenciando su utilidad. En su virtud solicita la nulidad de las dos resoluciones impugnadas y, en su defecto, sólo la de la providencia de inadmisión del incidente para que se retrotraigan actuaciones al momento anterior a ser ésta dictada.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justifica la especial trascendencia constitucional del recurso del art. 50.1 b) de la Ley Orgánica del Tribunal Constitucional, con invocación de la STC 155/2009, de 25 de junio, en tres aspectos: primero, la existencia de una resolución que, como la Sentencia impugnada, evidencia a su parecer un decisionismo arbitrario en su contenido que vulnera los derechos fundamentales ya invocados; segundo, las consecuencias que tiene la resolución desde la perspectiva de la condena al pago de una suma de mil cien millones de pesetas, suficiente para producir la quiebra de cualquier empresa por potente y saneada que se encuentre; y tercero, en cuanto a la providencia de inadmisión del incidente de nulidad de actuaciones promovido contra aquella Sentencia, la misma responde a la práctica habitual de los órganos judiciales de restar toda importancia a su función de primeros tuteladores de los derechos y garantías fundamentales a través del referido incidente de nulidad, sin entrar en el fondo de los escritos y limitándose a entender que la formulación del incidente es meramente instrumental del posterior recurso de amparo, lo que no responde a una lectura constitucional de la reforma de la Ley Orgánica del Tribunal Constitucional del año 2007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Secretaría de Justicia de la Sección Cuarta de este Tribunal, de 23 de marzo de 2011, se acordó dirigir comunicación al Juzgado de Primera Instancia núm. 4 de Marbella para que remitiera certificación o fotocopia adverada de las actuaciones correspondientes, insistiéndose mediante recordatorio de 9 de junio de 2011, finalmente cumplimentado por dicho órgano judicial a través de oficio de 20 de julio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16 de febrero de 2012 la Sala Segunda de este Tribunal dictó providencia admitiendo a trámite la demanda de amparo, acordando dirigir comunicación a la Sala Primera del Tribunal Supremo y a la Sección Quinta de la Audiencia Provincial de Málaga para que en plazo no superior a diez días remitieran certificación o fotocopia adverada de las actuaciones relativas, respectivamente, al recurso de casación núm. 118-2004 y al recurso de apelación 718-1998; mientras que se acordó dirigir también comunicación al Juzgado de Primera Instancia núm. 4 de Marbella para que procediera a emplazar a quienes hubieren sido parte en el procedimiento, excepto la entidad recurrente, a fin de su comparecencia ante este Tribunal si lo desean en plazo no superior a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respuesta a este emplazamiento, la Procuradora de los Tribunales doña Lourdes Fernández-Luna Tamayo, actuando como representante de la empresa Centros Comerciales Carrefour, S.A. (titular de los derechos de Centros Comerciales Pryca, S.A.), presentó escrito el 30 de marzo de 2012 solicitando se le tuviera por parte personada en el recurso, dictándose diligencia de ordenación por la Sala Segunda de este Tribunal el 9 de mayo de 2012, aceptando dicha personación aunque condicionada a que por su representante procesal se aportase en el plazo de diez días la escritura de poder original, lo que se satisfizo mediante escrito de 17 de mayo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resolución se acordó dar vista de las actuaciones a las partes y al Ministerio Fiscal por plazo común de veinte días, en orden a la presentación de alegaciones del art. 52.1 de la Ley Orgánica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de 25 de mayo de 2012, la representación procesal de la entidad recurrente presentó sus alegaciones ratificándose en todo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lo hizo la entidad Centros Comerciales Carrefour, S.A., mediante escrito de 13 de junio de 2012, interesando se dictara Sentencia de inadmisión y subsidiariamente de desestimación del recurso. En primer término, adujo como óbices: a) la extemporaneidad de la demanda, por resultar improcedente el incidente de nulidad de actuaciones con el que sólo se pretendía un nuevo enjuiciamiento del caso controvertido; y b) la falta de justificación del requisito de la especial trascendencia constitucional del recurso, porque ésta se basa en la gravedad de la lesión y porque además se le denegó la suspensión cautelar de la resolución recurrida, por no ser irreparable el perjuicio económico que alega. Ya en cuanto al fondo, la parte defiende lo que han sido sus pretensiones en la vía judicial previa y la corrección de la Sentencia impugnada en amparo, negando que haya vulneración de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15 de junio de 2012, interesando la desestimación del recurso de amparo. Sin referirse a los óbices, cree la Fiscalía que la Sentencia recurrida, mediante un razonamiento certero y suficientemente explicado, llegó a la conclusión de que la única de las partes que ha incumplido es la vendedora al no otorgar las correspondientes escrituras públicas, mientras que la compradora “habiendo entregado la suma articulada formalmente como préstamo” de los ochocientos millones, no tenía obligación de pagar el resto del precio (2.000 millones) hasta el acto de otorgamiento de las escrituras, el cual no se produjo por causa imputable a la vendedora. Tampoco aprecia lesión del art. 24.1 CE en cuanto al pronunciamiento de cuantificación de los daños, ni por falta de motivación ni por incongruencia extra petita, dado que la actora solicitó la cuantificación en el trámite de réplica con base en el entonces vigente art. 548 LEC 1881. Rechaza finalmente también el motivo subsidiario de defectuosa motivación de la providencia de inadmisión de la nulidad de actuaciones, que considera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medio de otrosí, el escrito de demanda de amparo interesó la suspensión de la ejecución de la Sentencia recurrida en cuanto a la condena al pago de los mil cien millones de pesetas (6.611.133,15 euros), más intereses y costas. Abierta la pieza cautelar de suspensión según providencia de esta Sala Segunda de 16 de febrero de 2012, el Ministerio Fiscal presentó alegaciones por escrito de 29 de febrero de 2012, oponiéndose a lo solicitado al no haberse aportado prueba documental o de otro género respecto de la pérdida de finalidad del recurso si aquel importe se hace efectivo. Por su parte, la representante procesal de la recurrente dedujo escrito el 2 de marzo de 2012, ratificándose en lo pedido. La Sala finalmente dictó el ATC 55/2012, de 26 de marzo, denegando la suspensión por tratarse de una cuestión estrictamente económica, sin aportarse prueba que justifique la excepcionalidad de la medida.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fecha 7 de marzo de 2013, se señaló para deliberación y fallo de la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interpone el presente recurso de amparo contra la Sentencia de la Sala de lo Civil del Tribunal Supremo que, declarando haber lugar al recurso extraordinario por infracción procesal y el subsiguiente de casación interpuestos por la parte actora del proceso, acordó estimar en parte la demanda interpuesta, al considerar erróneas las bases fácticas sobre las cuales tanto el Juzgado como la Audiencia Provincial habían apreciado un incumplimiento recíproco de las obligaciones pactadas por ambas mercantiles (absolviendo ambos a la demandada y dejando a las dos partes en la misma situación anterior al pleito), afirmando en su lugar que la valoración de la prueba documental permite colegir que la compradora sí había cumplido con la obligación de pagar el precio, pues abonó ochocientos millones de pesetas y sólo le restaban dos mil millones que debía entregar en el acto de otorgamiento de escrituras, el cual no se realizó por causa imputable a la vendedora. La Sala condena así a esta última al pago en euros del equivalente a mil cien millones (1.100.000.000) de pesetas por daño emergente.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promotora del presente amparo afirma que el nuevo factum fijado por la Sentencia impugnada en amparo, además de suponer ruptura del criterio tradicional de la Sala Primera del Alto Tribunal de respetar la labor cumplida por los Tribunales inferiores en la valoración de la prueba, adolece de irrazonabilidad y por ende lesiona su derecho fundamental a la tutela judicial efectiva (art. 24.1 CE) en sus vertientes de motivación y derecho a una resolución fundada, al no sustentarse en prueba alguna la imputación de los ochocientos millones como parte del pago del precio de la compraventa, dato que resulta decisivo para articular la solución jurídica del caso, con el perjuicio económico indicado. Se cuestiona también bajo el prisma del art. 24.1 CE la motivación y carácter fundado del pronunciamiento de cuantificación de daños, que se reputa igualmente incongruente extra petita, y se niega la motivación (art. 24.1 CE) de la providencia de inadmisión del incidente de nulidad so pretexto de su carácter instrumental respecto del posterior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Analizaremos los motivos de la demanda de amparo en el orden que propone la entidad recurrente, sin que constituyan impedimento para ello los dos óbices procesales opuestos en su escrito de alegaciones por la representación de Centros Comerciales Carrefour, S.A., al no alcanzar éstos la suficiente consistencia, teniendo en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alegado defecto de agotamiento de la vía judicial previa al amparo del art. 44.1 a) de la Ley Orgánica del Tribunal Constitucional (LOTC) en virtud de la interposición de un incidente de nulidad de actuaciones contra la Sentencia del Tribunal Supremo: sí que se cumplían los presupuestos exigidos por la norma reguladora (art. 241.1 de la Ley Orgánica del Poder Judicial: LOPJ) para su procedencia, pues la resolución cuestionada era justamente la última recaída en el proceso, con lo que la parte no había podido denunciar antes la lesión; ésta viene referida a un derecho fundamental protegible en amparo ex art. 53.2 CE y el escrito donde se plantea la queja, en fin, cumple con la carga de identificar la faceta del derecho vulnerado así como los hechos determinantes de la lesión. En tales condiciones, la promoción del incidente resultaba no sólo procedente sino preceptiva, para garantizar la subsidiariedad del recurso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Y respecto de la justificación del requisito de la especial trascendencia constitucional del recurso [arts. 49.1 y 50.1 b) LOTC], es cierto que la demanda inicia este apartado con consideraciones relativas a los motivos de fondo, lo que devendría insuficiente conforme a doctrina reiterada de este Tribunal que individualiza esta carga de argumentación como algo distinto a razonar sobre la existencia de la vulneración del derecho fundamental (últimamente, STC 107/2012, de 21 de mayo, FJ 2 y las anteriores que ahí se citan). Tampoco basta con referirse a las implicaciones económicas de la decisión adoptada por la resolución recurrida, no al menos si ello se plantea desde la óptica de la gravedad de la lesión, criterio en sí mismo descartado como de especial trascendencia (ATC 29/2011, de 17 de marzo, FJ 3). Eventualmente podría subsumirse en el supuesto del apartado “g” del listado de nuestra STC 155/2009, de 25 de junio, FJ 2, cuando las circunstancias del caso evidencien un grado de relevancia y generalidad de esa repercusión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justificó también la especial trascendencia constitucional en la censura que debía merecer la respuesta de inadmisión al incidente de nulidad de actuaciones del Tribunal Supremo, en cuanto expresiva, dice, de una práctica judicial reiterada que minimiza o desprecia el papel atribuido por el Ordenamiento a los Tribunales ordinarios en la protección de los derechos fundamentales, especialmente tras el reforzamiento de dicho incidente por mor de la disposición final primera de la Ley Orgánica 6/2007, de 24 de mayo. Y así planteado, compete sin duda a este Tribunal fijar doctrina que ataje comportamientos que enerven la eficacia de este mecanismo de tutela judicial, en cuanto en ello va comprometido también el carácter subsidiario del amparo. Con este fin se han dictado las SSTC 43/2010, de 26 de julio, FFJJ 4 y 5 (donde el órgano judicial remitía al interesado a promover un proceso declarativo); 107/2011, de 20 de junio, FJ 5 (inadmisión de plano del incidente para que la tutela se dispensara en amparo) y 153/2012, de 16 de julio, FFJJ 3 a 5 (recurso de amparo promovido únicamente contra la resolución de inadmisión del incidente), declarando en todas ellas la vulneración del art. 24.1 CE. La segunda de las citadas (STC 107/2011) resuelve una queja similar a la aquí planteada, pero precisamente dicha Sentencia todavía no se había dictado ni menos todavía publicado en el “Boletín Oficial del Estado” a la fecha en que se interpuso la presente demanda de amparo, lo que por tanto dotaba de especial trascendencia constitucional a este recurso, a falta en ese momento de una doctrina específica [supuesto a) del listado de la STC 155/2009, de 25 de junio, FJ 2]. Por tanto, no concurre tampoco este óbice.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tres motivos del recurso, como ya se ha sintetizado, plantean la lesión de los derechos a obtener una resolución judicial motivada y jurídicamente fundada, lo que exige atender a la doctrina asentada por este Tribunal en torno al contenido esencial de esta doble vertiente del derecho fundamental a la tutela judicial efectiva (art. 24.1 CE), de la que se hace resumen en la reciente STC 182/2011, de 21 de noviembre, FJ 3, en los siguientes términos: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en una muy reiterada y ya consolidada doctrina, recogida en sus inicios en las SSTC 61/1983, de 11 de julio, FJ 3, y 13/1987, de 5 de febrero, FJ 3, y confirmada últimamente en el FJ 4 de la STC 248/2006, de 24 de julio, ha venido declarando que el derecho a la tutela judicial efectiva incluye el derecho a obtener de los órganos judiciales una respuesta razonada, motivada, fundada en Derecho y congruente con las pretensiones oportunamente deducidas por las partes, por cuanto la motivación de las resoluciones judiciales, aparte de venir impuesta en el art. 120.3 CE, es una exigencia derivada del art. 24.1 CE que permite conocer las razones de la decisión que aquéllas contienen y que posibilita su control mediante el sistema de los recursos (entre otras muchas, SSTC 163/2000, de 12 de junio, FJ 3; 187/2000, de 10 de julio, FJ 2; y 214/2000, de 18 de septiembre, FJ 4). La motivación debe contener una fundamentación en Derecho (STC 147/1999, de 4 de agosto,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último aspecto no incluye un pretendido derecho al acierto judicial en la selección, interpretación y aplicación de las disposiciones legales, salvo que con ellas se afecte al contenido de otros derechos fundamentales distintos al de tutela judicial efectiva (SSTC 256/2000, de 30 de octubre, FJ 2; 82/2001, de 26 de marzo, FJ 2). Pero la fundamentación en Derecho sí conlleva la garantía de que la decisión no sea consecuencia de una aplicación arbitraria de la legalidad, no resulte manifiestamente irrazonada o irrazonable, o incurra en un error patente, ya que, en tal caso, la aplicación de la legalidad sería tan sólo una mera apariencia (SSTC 147/1999, de 4 de agosto, FJ 3; 25/2000, de 31 de enero, FJ 2; 87/2000,de 27 de marzo, FJ 6; 82/2001, de 26 de marzo, FJ 2; 221/2001, de 31 de octubre, FJ 6; 55/2003, de 24 de marzo, FJ 6; 213/2003, de 1 de diciembre, FJ 4). El art. 24 CE impone entonces, a los órganos judiciales, la obligación de dictar una resolución fundada en Derecho que no puede considerarse cumplida con la mera emisión de una declaración de voluntad en un sentido u otro, sino que debe ser consecuencia de una exégesis racional del ordenamiento, y no fruto de la arbitrariedad (SSTC 61/1983, de 11 de julio; 5/1986, de 21 de enero; 78/1986, de 13 de junio; 116/1986, de 8 de octubre, y 75/1988, de 25 de abril, FJ 3). No basta, pues, con obtener una respuesta motivada, sino que, además, ésta ha tener contenido jurídico y no resultar arbitraria (por todas, SSTC 22/1994, de 27 de enero, FJ 2; 324/1994, de 1 de diciembre, FJ 2; 24/1999, 8 de marzo, FJ 3, y 10/2000, de 17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doctrina de referencia ha de conducir a la desestimación del primer motivo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entrada, ha de precisarse que la posibilidad de efectuar una distinta valoración de la prueba no le está vedada a la Sala de lo Civil del Tribunal Supremo, control que ya era posible bien que de manera restringida, según su propia jurisprudencia, en el recurso de casación anterior a la entrada en vigor de la actual Ley de enjuiciamiento civil (LEC) por la vía del error de Derecho en la valoración de la prueba (art. 1692.4 LEC de 1881) y que en lo que aquí importa considerar, sigue siendo posible hoy a través del recurso extraordinario por infracción procesal, ex art. 469.1.4 LEC de 2000, también de manera limitada a los casos de apreciación arbitraria o ilógica de la prueba, infracción de regla de valoración fijada legal o jurisprudencialmente o cuando dicha valoración no supere el test de “racionabilidad” exigible para respetar el derecho fundamental a la tutela judicial efectiva (tal como recogen, entre otras, las SSTS 831/2004, de 14 de julio; 977/2008, de 17 de octubre; 400/2012, de 12 de junio; 532/2012, de 30 de julio; 595/2012 y 616/2012, ambas de 23 de octubre; y las que en ellas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irreprochable el ejercicio de la facultad revisora de los hechos y del Derecho que cumple en el caso la Sala Primera del Tribunal Supremo, ésta, tras una valoración de todos los elementos de prueba obrantes en autos y con aplicación de las normas sustantivas pertinentes, sostiene que la parte compradora había cumplido con las obligaciones que le eran exigibles, mediante el abono de ochocientos millones cuya finalidad última, en interpretación conjunta de todos los pactos suscritos entre las dos entidades, era servir como parte del precio de la compraventa; ello con independencia de que luego ejecutara el aval bancario y los recuperara lo que sólo hizo después de comprobar que la aquí recurrente no iba a cumplir con la entrega del bien inmueble, de modo que los otros dos mil millones de pesetas tampoco le eran exigibles a la compradora al no tener lugar el otorgamiento de escrituras, en cuyo acto debían pagarse. Nada hay en este análisis jurídico, del que deriva en definitiva la conclusión por la Sala Primera del Tribunal Supremo de que la vendedora es la única parte que incumplió sus obligaciones y que por ello tiene la obligación de indemnizar a aquélla en concepto de daños y perjuicios, que pueda considerarse arbitrario ni irrazonable. Desde la función de control externo que nos corresponde desempeñar, no cabe reconocer aquí la lesión del art. 24.1 CE que se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Igual suerte desestimatoria han de correr los restantes motivos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lo que concierne a la cuantificación de los daños, tal y como observa el Ministerio Fiscal en su escrito de alegaciones, no existe incongruencia extra petita por el hecho de que se haya fijado el daño emergente en la propia Sentencia, en vez de diferirse a la fase de ejecución como pedía la actora en su escrito de demanda de primera instancia, pues en el proceso de mayor cuantía de la LEC de 1881 por cuyo cauce se sustanció el que aquí nos ocupa, resultaba posible aprovechar el trámite de réplica, ex art. 548 de dicha ley procesal, con el fin de ampliar, adicionar o modificar la pretensión deducida inicialmente siempre que con ello no se alterase el objeto principal, límite respetado por la actora al limitarse a solicitar en el escrito correspondiente que se cuantificaran los daños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hay nada que objetar, desde la perspectiva del derecho a una resolución fundada en Derecho (art. 24.1 CE), al método de cálculo elegido por la Sala ad quem, partiendo de la objetividad de los parámetros que selecciona, deduciendo del importe de la venta del hipermercado realizada indebidamente por la vendedora aquí recurrente a una tercera entidad, el inferior precio pactado a su vez en la compraventa frustrada entre las partes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de la queja por la inadmisión del incidente de nulidad de actuaciones, motivo último y subsidiario de los anteriores de la demanda de amparo, lógico corolario de lo que acaba de exponerse ha de ser también su desestimación. Descartada la lesión del derecho a la tutela judicial efectiva por la Sentencia de casación, el que la Sala del Alto Tribunal diga en su providencia de inadmisión visto el contenido del escrito en el que se plantea el incidente, que lo pretendido por la parte al promover contra ella un incidente de nulidad, era instar una nueva valoración de la prueba —como tal, improcedente—, reafirmando a su vez que la Sentencia dictada aparece fundada en Derecho, son razonamientos que la entidad demandante en amparo podrá no compartir, pero desde luego los mismos no evidencian irrazonabilidad ni falta de motivación. Tampoco, como sostiene la recurrente, un desprecio o desdén hacia la función encomendada por el legislador a los Tribunales de la jurisdicción ordinaria, en este caso al Tribunal Supremo, en la protección de los derechos fundamentales; función reforzada tras la ampliación del ámbito objetivo del incidente de nulidad de actuaciones por la disposición final primera de la Ley Orgánica 6/2007, de 24 de mayo (que modifica el art. 241.1 LOPJ con ese fin), como ha tenido ocasión de referirse este Tribunal Constitucional en las Sentencias reseñadas en el anterior fundamento jurídico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no deriva que toda providencia de inadmisión de un incidente de nulidad, por el mero hecho de serlo, merezca reproche desde la óptica que se predica, debiendo atenderse no sólo al texto de la resolución judicial sino al contenido del escrito por el que dicho incidente se solicita. En este caso y por lo que se ha explicado, no lo merece la providencia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la desestimación de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General de Galerías Comerciales,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marzo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