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marzo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octubre de 2012, el Procurador de los Tribunales don Carlos Piñeira de Campos en nombre y representación de don Abdelkader Castellanos de la Fuente y otros, y bajo la dirección del Letrado don Javier Cremades García, interpuso recurso de amparo contra el Auto del Juzgado Central de lo Contencioso-Administrativo núm. 1 de 17 de septiembre de 2012, dictado en el procedimiento abreviado núm. 81-2012, por el que se desestima el recurso de reposición interpuesto contra la providencia de 19 de junio de 2012, en la que se acuerda que deben interponerse por separado el recurso contencioso-administrativo formulado de manera conjunta por más de quince mil afectados contra las resoluciones las denegaciones de responsabilidad patrimonial de la Administración por cierre del espacio aéreo.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cada día que avanzan los procedimientos abiertos debido al cumplimiento de lo acordado en las resoluciones impugnadas se hace más difícil e imposible una reparación de la desacumulación.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14 de febrero de 2013, acordó, respectivamente, la admisión a trámite de la demanda de amparo y la formación de pieza separada para la tramitación del incidente sobre la suspensión solicitada y conceder a los recurrentes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25 de febrero de 2013, presentó alegaciones en las que, enunciando la jurisprudencia de este Tribunal sobre el particular, interesó que se denegara la suspensión solicitada, argumentando que las decisiones judiciales impugnadas constituyen resoluciones de mero contenido negativo al denegar la posibilidad de una interposición conjunta de un recurso contencioso-administrativo por parte de todos los recurrentes en amparo, por lo que su suspensión equivaldría a una anticipación del otorgamiento del recurso de amparo. Por otro lado, también destaca el Ministerio Fiscal, por lo que se refiere a una eventual pérdida de finalidad del procedimiento de amparo, que la restauración en la integridad del derecho que se afirma vulnerado podría lograrse declarando la nulidad de las decisiones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por escrito registrado el 22 de febrero de 2013, presentaron alegaciones insistiendo en la necesidad de la suspensión de las resoluciones impugnadas por los graves perjuicios que supone que el conocimiento de los diversos recursos esté recayendo en los distintos Juzgados Centrales de lo Contencioso-Administrativo, lo que está provocando criterios y fallos dispares tanto en lo referido al pago de tasas judiciales, como a la posibilidad de actuar de manera acumulada varios recurrente, alcanzando actualmente, incluso, al fallo de las diversas Sentencias pronunciadas y las condenas en costas, lo que está causando graves perjuicios económicos. Igualmente, se destaca que la suspensión no ocasionaría ninguna perturbación grave a un interés constitucional o los derechos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En atención a esta previsión legal, el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(por todos, ATC 124/2012, de 18 de junio, FJ 1). Igualmente, también se ha hecho especial incidencia,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este Tribunal ha establecido el criterio de que la ejecución de las resoluciones judiciales cuyos efectos son fundamentalmente patrimoniales o de contenido económico, con carácter general, ni causa un perjuicio irreparable al obligado al pago,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decisión judicial cuya suspensión se insta es la referida a la negativa de que los recurrentes puedan formular de manera acumulada la impugnación judicial de la denegación de la responsabilidad patrimonial de la Administración por el cierre del espacio aéreo. Frente a dicha decisión y la consecuencia de que se haya tenido que proceder a demandar de manera individualizada por los diferentes recurrentes, se alega que ello provoca un perjuicio irreparable derivado de la disparidad de criterios sobre aspectos como la necesidad del pago de tasas judiciales, posibilidad de actuar de manera acumulada varios recurrente, e incluso sobre la cuestión de fondo respecto de la existencia de responsabilidad patrimonial y las condenas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debe concluirse que, por la propia naturaleza de la acción ejercitada por los recurrentes en la vía judicial ordinaria, se pone de manifiesto que los perjuicios alegados son todos de naturaleza económica y que, por tanto, no son susceptibles de causar un perjuicio irreparable que hiciera perder al amparo su finalidad, al ser posible su restitución económica íntegra. Al margen de ello, además, tampoco en las alegaciones de los recurrentes se acredita que esos perjuicios económicos alegados sean de tal magnitud o entidad para cada uno de los afectados que resulte necesario excepcionar la regla general de no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tal como también destaca el Ministerio Fiscal, el contenido negativo de la decisión judicial impugnada determinaría que de accederse a la suspensión la consecuencia inmediata sería la procedencia de continuar con la acción conjunta iniciada por los recurrentes lo que, en última instancia, implicaría una otorgamiento anticipado del amparo, desnaturalizando la naturaleza cautelar de la medida (por todos, AATC 314/2006, de 25 de septiembre, FJ 2; o 43/2008, de 11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solicitada en el recurso de amparo núm. 6112-2012.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