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81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10 de abril de 2013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4 de julio de 2012, el Procurador de los Tribunales don José Manuel Villasante García, en nombre y representación del Consell Insular de Menorca, interpuso demanda de amparo contra Autos de la Sección Primera de la Sala de lo Contencioso-Administrativo del Tribunal Supremo recaídos en recurso de casación núm. 4101-2011, contra Sentencia dictada por la Sala de lo Contencioso-Administrativo del Tribunal Superior de Justicia de Baleares, en recurso núm. 821-2003.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30 de noviembre de 2012, el Magistrado Excmo. Sr. don Juan José González Rivas manifestó su voluntad de abstenerse en el presente recurso de amparo y todas sus incidencias, por entender que concurría la causa establecida en el artículo 219.11 de la Ley Orgánica del Poder Judicial, supletoria de la Ley Orgánica 2/1979 (artículo 80), al haber intervenido en instancia anterior en su condición de Magistrado de la Sala de lo Contencioso-Administrativo del Tribunal Supremo que dictó las resoluciones recurridas.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Juan José González Rivas,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a)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Juan José González Rivas en el recurso de amparo núm. 4100-2012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diez de abril de dos mil trece.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