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3591-2009, planteado por el Consejo de Gobierno de la Comunidad Autónoma de Madrid contra los arts. 3.1 b) y 6 del Real Decreto 2066/2008, de 12 de diciembre, por el que se regula el plan estatal de vivienda y rehabilitación 2009-2012. Ha formulado alegaciones el Abogado del Estado.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17 de abril de 2009 el Letrado de la Comunidad Autónoma de Madrid, en la representación que legalmente ostenta de su Consejo de Gobierno, promueve conflicto positivo de competencia contra los arts. 3.1 b) y 6 del Real Decreto 2066/2008, de 12 de diciembre, por el que se regula el plan estatal de vivienda y rehabilitación 2009-2012. El conflicto se fundamenta en las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presente conflicto y al cumplimiento de los requisitos procesales para interponerlo, el Letrado de la Comunidad de Madrid se refiere al contenido de la norma impugnada y a los títulos competenciales que entiende afectados en la presente controversia. Así, indica que el Real Decreto 2066/2008 establece una serie de medidas dirigidas al fomento de la vivienda protegida así como a la rehabilitación, amparándose en la competencia estatal en materia de bases y coordinación general de la actividad económica del art. 149.1.13 CE. Para analizar la constitucionalidad de esta disposición, la representación procesal de la Comunidad de Madrid parte del estudio de la distribución competencial en materia de vivienda y de la jurisprudencia constitucional sobre la misma. En este sentido, recuerda que el art. 148.3 CE permite que las Comunidades Autónomas asuman competencias en materia de ordenación del territorio, urbanismo y vivienda y que el art. 26.1.4 del Estatuto de Autonomía de la Comunidad Autónoma de Madrid haya asumido dicha competencia como exclusiva. Seguidamente afirma, con cita de la STC 152/1988, de 20 de julio, que las Comunidades Autónomas pueden desarrollar las bases estatales añadiendo requisitos y, en su caso, financiaciones complementarias, así como, en uso de su competencia exclusiva, crear figuras de protección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de la STC 61/1997, de 20 de marzo, a propósito de la regulación del aprovechamiento tipo que establecía el texto refundido de la Ley del suelo de 1992 para favorecer la vivienda protegida, el Letrado de la Comunidad de Madrid añade que la competencia estatal en materia de vivienda al amparo del art. 149.1.13 CE ha de ir referida estrictamente a los fondos estatales que se dediquen al fomento de dicha actividad y en conexión con la incidencia de la misma en la economía nacional. A su juicio, si el título habilitante es la regulación general de la economía de la nación, no parece que ello permita al Estado utilizar otras competencias para fomentar la vivienda protegida ni tampoco establecer normativa en materia de vivienda que carezca de esa necesaria conexión con la economía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establecido, con carácter general, el régimen de distribución de competencias en la materia, el escrito de interposición del conflicto procede a analizar los preceptos del Real Decreto 2066/2008 que son objeto de impugnación. En concreto, son los arts. 3.1 b) (obligación de los solicitantes de vivienda de estar inscritos en un registro público de demandantes) y 6 (duración del régimen de protección). Así, respecto al art. 3.1 b), señala que, en cuanto exige para acceder a las viviendas y a la financiación prevista en el Real Decreto que los demandantes estén inscritos en un registro público creado y gestionado de conformidad con lo que disponga la normativa de las Comunidades Autónomas, se vulneran las competencias de la Comunidad Autónoma de Madrid en cuanto no se acierta a comprender la conexión de dicha medida con la economía de la nación, que es la competencia ejercitada por el Estado, a diferencia de lo que ocurre con el resto de requisitos del citado precepto que aluden a la situación económica y patrimonial de los solicitantes. Añade que las competencias estatales de carácter horizontal, como la planificación general de la actividad económica, han de interpretarse de una manera estricta, ya que de lo contrario supondrían una habilitación general al Estado para intervenir en cualquier materia, de tal forma que se vaciaría de sentido la atribución a las Comunidades Autónomas de una competencia específica sobre una materia. Además, señala que este criterio restrictivo de la competencia estatal sobre planificación general de la economía se reitera, entre otras, en las SSTC 44/1982, de 8 de julio; 11/1984, de 2 de febrero; 76/1984, de 29 de junio; 37/1987, de 26 de marzo; 112/1995, de 6 de julio y 45/2001, de 15 de febrero. En base a esta doctrina, considera el Letrado de la Comunidad de Madrid que resulta cuando menos difícil ver una relación directa e inmediata entre la creación de un registro de demandantes de viviendas y la planificación general de la economía nacional. Por ello, a su juicio no puede defenderse que la imposición de la creación de un registro esté comprendida en lo básico ya que más bien representa un mecanismo de control del sistema de concesión de viviendas protegidas cuya articulación debería quedar a la decisión exclusiva de las Comunidades Autónomas en virtud de sus competencias en materia de vivienda, e inclusive se podría citar su competencia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art. 6 estima que vulnera las competencias de la Comunidad Autónoma de Madrid en materia de urbanismo pues el precepto condiciona los usos que la Comunidad Autónoma en su normativa urbanística establece para los suelos y afecta a su política urbanística ya que, al establecer dicho precepto una reserva del 50 por 100 para vivienda protegida, ello puede originar una trama urbana con una altísima proporción de vivienda protegida congelada, afectando así al modelo de ciudad que la Comunidad Autónoma, en el uso de su competencia en materia de urbanismo, puede querer configurar. Pero además de esa vulneración de las competencias autonómicas en materia de urbanismo, a su juicio se lesiona igualmente la competencia en materia de vivienda porque si el Gobierno central establece una calificación perpetua de las viviendas protegidas construidas en suelos destinados por el planeamiento a vivienda protegida, ello supone congelar dichos suelos permanentemente, sin posibilidad de que esas viviendas se descalifiquen, con lo cual el precepto estatal desvirtúa los deseos del legislador madrileño al fijar una reserva del suelo del 50 por 100. Afirma el Letrado de la Comunidad Autónoma de Madrid que la legislación básica ha de permitir siempre a las Comunidades Autónomas un margen de desarrollo de la materia y este margen no se respeta al establecer el carácter perpetuo de la calificación de la vivienda. Considera también que al establecerse una calificación perpetua de las viviendas se está procediendo a vaciar la competencia autonómica en materia de vivienda ya que la Comunidad Autónoma ha de establecer forzosamente la calificación permanente para estas viviendas cuando la normativa autonómica utiliza el plazo en el que las viviendas han de estar protegidas como un instrumento de política de vivienda. A su entender, se produce así un bloqueo de las competencias autonómicas que el Tribunal Constitucional ha rechazado en numerosas ocasiones, entre otras, en la STC 133/1997, de 16 de julio (FJ 4). Concluye afirmando que el hecho de que las viviendas no puedan desclasificarse jamás constituye una medida de política de vivienda más que una medida de política económica, pero que vulnera las competencias autonómicas en materia de vivienda y en materia de urbanismo al condicionar las reservas de suelo destinado a vivienda protegida y los suelos dotacionales públicos que establece la normativa urbanística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suplica la estimación del conflicto declarando que las competencias controvertidas corresponden a la Comunidad Autónoma de Madrid y que el Real Decreto 2066/2008, de 12 de diciembre, objeto del presente conflicto, vulnera esas competencias al impedir su ejercicio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mayo de 2009 el Pleno del Tribunal, a propuesta de la Sección Cuarta, acordó admitir a trámite 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estuvieran impugnados o se impugnaren los citados preceptos, en cuyo caso se suspenderá el curso del procedimiento hasta la decisión del conflicto, según dispone el art. 61.2 de la Ley Orgánica del Tribunal Constitucional (LOTC), y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13 de mayo de 2009 el Abogado del Estado se personó en el proceso solicitando una prórroga del plazo concedido para formular alegaciones, prórroga que le fue concedida mediante providencia de 14 de mayo de 2009. El escrito de alegaciones del Abogado del Estado se registró el día 23 de junio de 2009. En dicho escrito se opone a la demanda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realizar un planteamiento general sobre el objeto del conflicto, examina si, al amparo de la doctrina constitucional, la actuación del Estado se halla justificada por la competencia que el art. 149.1.13 CE le atribuye sobre las bases y coordinación de la planificación general de la actividad económica. Recuerda que la ordenación y promoción de sectores económicos como competencia integrante del título estatal relativo a la planificación general de la actividad económica ha sido objeto de numerosa jurisprudencia constitucional, en la que a su vez ha sido una constante la exigencia de una cierta relevancia económica para justificar que una norma estatal pueda ampararse en la competencia relativa a la “planificación general de la actividad económica”. Como ejemplo de Sentencias que realizan ese control de relevancia económica, el Abogado del Estado cita las SSTC 152/1988, de 20 de julio, 59/1995, de 17 de marzo, y 61/1997, de 20 de marzo; afirma que la jurisprudencia constitucional ha reconocido la competencia del Estado para ordenar y proteger el subsector vivienda, con base en su especial incidencia en la economía española. A su juicio, resulta innegable que el subsector de la vivienda tiene un peso significativo en la economía nacional, en general, y en el sector de la construcción, en particular, y que la tarea estatal de fomento en materia de vivienda se encuentra respaldada por el título competencial a que se refiere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analiza la constitucionalidad de los preceptos impugnados. En primer lugar, señala que lo establecido en las disposiciones recurridas no son prescripciones de necesaria aplicación, sino que únicamente resultarán de observancia obligatoria para las Comunidades Autónomas que así lo decidan, optando por que en su territorio puedan obtenerse tales ayudas estatales y financiación convenida. Tras esta afirmación pasa a analizar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3.1 b) señala que se trata de un precepto en el que no se regula un registro único de demandantes, sino que se limita a prever su creación y contenido básico, con lo que traslada a cada Comunidad Autónoma la obligación de instaurar estos registros, pero sin entrar en aspectos de gestión de los mismos, declarando de forma expresa que la gestión de estos registros de carácter público o equivalentes corresponderá a cada Comunidad Autónoma, de acuerdo con su normativa propia. Añade que el señalamiento de los requisitos mínimos que los eventuales beneficiarios han de cumplir para poder acceder a las ayudas estatales constituye uno de los elementos esenciales del ámbito de protección que puede reservarse el Estado. En última instancia, es uno de los instrumentos más útiles para conseguir delimitar el destino de las cantidades que el Estado aporta para la protección a la promoción de viviendas y su adquisición. La normativa estatal no sólo determina las actuaciones protegibles a las que se destinan los fondos aportados, sino también las características de las personas que pueden acceder a las ayudas. En este sentido, sostiene que partiendo de admitir que las condiciones generales de los demandantes de vivienda y financiación constituyen elemento esencial para el cumplimiento de los objetivos en materia de vivienda propuestos por el Estado al recoger la articulación jurídica de las ayudas económicas programadas, el contenido del precepto impugnado ha de ser considerado básico y, concretamente, la inscripción en un registro público de demandantes que sin duda resulta igualmente indispensable para el eficaz cumplimiento de los objetivos estatales. En consecuencia, señala que en tanto la consideración de la vivienda como protegida entra en la definición misma de las actuaciones protegibles, el establecimiento de un registro de demandantes o solicitantes de vivienda protegida contribuye a aportar datos esenciales para la determinación básica de dichas actuaciones. Para el Abogado del Estado se trata de garantizar que el subsector protegido de vivienda, además de mantener las características que lo definen normativamente como tal, se consolide en los mercados de vivienda como una opción eficaz y creíble para satisfacer adecuadamente las necesidades de alojamiento de la población, especialmente la de ingresos medios y bajos, actuando a su vez como contrapeso y elemento moderador de las grandes fluctuaciones de precios que pueden aquejar a los mercados de vivienda. Considera que el registro público de demandantes constituye un mecanismo de asignación de beneficiarios de las viviendas protegidas que contribuye a evitar la posibilidad de que por los vendedores de dichas viviendas se exijan precios superiores a los administrativamente fijados. Es decir, con la inscripción de los demandantes en los registros públicos se trata de obviar la aplicación de sobreprecios ilegales a las viviendas incluidas en el subsector protegido. Por ello, insiste el Abogado del Estado, el registro de demandantes tiene una incidencia directa sobre la caracterización del subsector protegido de vivienda que a su vez presenta un importante papel potencial en el equilibrio de los mercados de vivienda, factor clave en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el Abogado del Estado que los registros públicos de demandantes ya estaban establecidos en el Real Decreto 801/2005, de 1 de julio, por el que se aprobó el anterior plan estatal de vivienda 2005-2008, en respuesta a la voluntad de determinadas Comunidades Autónomas de satisfacer, desde una norma estatal, su deseo de conocimiento, estructuración y ordenación de la demanda de vivienda de protección oficial en los distintos ámbitos territoriales, al objeto de que las Administraciones públicas más directamente afectadas tuvieran oportuna información tanto de la demanda real existente en su territorio como de las condiciones sociales y económicas de los eventuales demandantes de este tipo de viviendas. En todo caso, destaca que la ponderación de la constitucionalidad del art. 3.1 b) del Real Decreto 2066/2008 debe hacerse sobre la base de los criterios ampliamente reiterados por este Tribunal en relación con los registros estatales, singularmente la STC 197/1996, de 28 de noviembre, que recopila la doctrina anteriormente recaída en numerosos pronunciamientos. A la vista de dicha jurisprudencia sostiene que difícilmente puede aceptarse la imputación de inconstitucionalidad que se dirige contra el art. 3.1 b), pues si este Tribunal Constitucional ha declarado conforme con el orden constitucional de distribución de competencias la existencia de un registro único para todo el Estado en aquellos ámbitos materiales sobre los que el mismo ostente competencias legislativas básicas, no parece que pueda negarse la constitucionalidad de la mera previsión básica de existencia de registros autonómicos, cuya creación y gestión se encomienda expresamente a las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6, señala el Abogado del Estado que pese a que formalmente constituye objeto de impugnación en el presente conflicto la totalidad del precepto, el escrito rector de este proceso únicamente razona sobre la inconstitucionalidad de su apartado 1. Destaca que el art. 6 se dirige a fijar las condiciones que vinculan la financiación con fondos públicos del Estado de determinadas viviendas y alojamientos que desean acogerse a aquéllos, lo que permite afirmar que nos encontramos realmente ante un asunto económico y no urbanístico, que por ello difícilmente puede llegar a condicionar las competencias urbanísticas de la Comunidad Autónoma. Por tanto, a su juicio, la cuestión parece circunscribirse al plazo de treinta años que establece el art. 6.1 y que constituye el requisito mínimo temporal a cumplir, incluso cuando las correspondientes condiciones urbanísticas hubieran ya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 medida cuya constitucionalidad se cuestiona no tiene carácter novedoso sino que viene a intensificar una tendencia normativa que parte del plan de vivienda 2002-2005 con el que se trata de lograr una mayor estabilidad en la permanencia del régimen de las viviendas protegidas, y no prohibiendo las transacciones, sino fijándoles precios máximos y limitándolas a ocupantes con determinadas características. Añade que, en todo caso, la facultad de fijación del plazo para descalificar una vivienda dotada de protección ha de estimarse incluida dentro de la facultad estatal para determinar la regulación esencial del nivel de protección que se pretenda ofrecer en cada caso y que, como ha señalado la STC 152/1988, de 20 de julio, FJ 4, constituye una de las actuaciones que el Estado puede llevar a cabo en materia de financiación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el plan estatal de vivienda sólo establece condiciones de financiación para las actuaciones previstas en el mismo, que además vayan a contar con financiación procedente de dicho plan. Esto es, sus prescripciones limitan su eficacia a las viviendas “que se acojan a la financiación de este Plan”, dictadas por el Estado al amparo de sus competencias, sin condicionar la política de vivienda que puedan desplegar las Comunidades Autónomas mediante sus propios programas. Por ello, afirma que la disposición impugnada permite su desarrollo por las Comunidades Autónomas, pudiendo establecer un plazo superior para autorizar la descalificación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afirma que si las ayudas van destinadas a mejorar el acceso y uso de la vivienda a los ciudadanos con especiales dificultades económicas, la fijación de mínimos temporales no persigue sino que la financiación de vivienda protegida se destine realmente a crear vivienda protegida, sin que se desvirtúe en último término el sentido de la subvención, por cuanto es evidente que cada vivienda protegida que se descalifique hará perder la finalidad del dinero público que se le destinó, y al pasar al mercado libre, contribuirá a favorecer un proceso dirigido a la especulación. En definitiva, a su juicio, y partiendo de admitir que la limitación temporal en la descalificación voluntaria de las viviendas protegidas que hayan gozado de ayudas públicas conforme al plan estatal no constituye una regla urbanística, sino que se trata de una medida básica de política económica que se inserta en la política de vivienda, resulta innegable la cobertura competencial que el art. 6 impugnado encuentra en el art. 149.1.13 CE. Afirma que la incidencia directa y significativa de la medida incluida en el art. 6, en el sector económico, en la lucha contra la especulación y en la efectividad del derecho a la vivienda para los colectivos más desfavorecidos, resulta incuestionable. Añade que la regulación de las limitaciones a la propiedad obtenida con la financiación cualificada ha de considerarse de carácter básico, puesto que configura uno de los aspectos esenciales de la política de vivienda establecida por el Estado, al tratarse de una auténtica contrapartida de los beneficios obtenidos que garantiza el cumplimiento de los propios fines pretendidos con el establecimiento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la ausencia de argumentación en el escrito de demanda sobre la constitucionalidad del apartado 2 del art. 6, exime a esa representación de la defensa de dicho apartado, al desconocerse los motivos en los que la parte actora fundamentara una posible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2013, se acordó señalar para deliberación y votación de la presente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El presente proceso constitucional tiene por objeto resolver el conflicto positivo de competencia promovido por el Consejo de Gobierno de la Comunidad de Madrid contra los arts. 3.1 b) y 6 del Real Decreto 2066/2008, de 12 de diciembre, por el que se regula el plan estatal de vivienda y rehabilitación 2009-2012.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Consejo de Gobierno de la Comunidad Autónoma de Madrid los arts. 3.1 b) y 6 del Real Decreto 2066/2008 vulneran sus competencias exclusivas en materia de vivienda y urbanismo, pues ni la obligación de los solicitantes de vivienda de estar inscritos en un registro público de demandantes [art. 3.1 b)], ni la fijación de un plazo de duración mínimo al régimen de protección pública de las viviendas (art. 6), tienen conexión con la competencia estatal en materia de bases y coordinación general de la actividad económica del art. 149.1.13 CE, que es el título competencial en el que se ampara la citada norma para establecer una serie de medidas dirigidas al fomento de la vivienda protegida. Por el contrario, el Abogado del Estado sostiene que ambos preceptos tienen una incidencia directa y significativa en el sector económico en atención a la necesidad de garantizar el subsector protegido de vivienda que a su vez presenta un importante papel potencial en el equilibrio de los mercados de vivienda, factor clave en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sintéticamente las posiciones de las partes que se enfrentan en este proceso, resulta conveniente realizar algunas precisiones de orden procesal, antes de proceder al examen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determinar la vigencia de la controversia competencial en los términos en que ha sido planteada, a la vista de las modificaciones operadas en el Real Decreto 2066/2008, por el Real Decreto 1961/2009, de 18 de diciembre, que introduce nuevas medidas transitorias en el plan estatal de vivienda y rehabilitación 2009-2012, y por el Real Decreto 1713/2010, de 17 de diciembre, que modifica el Real Decreto 2066/2008, de 12 de diciembre. Pues bien, ninguna de estas modificaciones ha afectado a los artículos frente a los que se ha interpuesto el presente conflicto positivo de competencia, por lo que debemos entender que el conflicto pervive en los términos en que ha sido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debe tenerse en cuenta que el plan estatal de vivienda 2009-2012 no ha sido derogado por el Real Decreto 233/2013, de 5 de abril, por el que se regula el plan estatal de fomento del alquiler de viviendas, la rehabilitación edificatoria y la regeneración y renovación urbanas, 2013-2016, sino que ha concluido el período para cuya eficacia fue aprobado, a lo que se añade, tal y como hemos señalado en relación con las normas reguladoras de ayudas públicas y con las leyes de presupuestos, que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(STC 197/2012, de 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lugar, debemos delimitar el objeto del presente conflicto positivo de competencias. En efecto, pese a que formalmente constituye el objeto de la impugnación la totalidad del art. 6, el escrito de interposición del conflicto de competencias únicamente aporta argumentos suficientes en relación con los motivos o causas de la infracción de su apartado 1. Por tanto, habremos de atenernos a la doctrina que hemos mantenido en supuestos similares, según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objeto del presente proceso queda delimitado a los arts. 3.1 b) y 6.1 del Real Decreto 2066/2008.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Real Decreto 2066/2008, de 12 de diciembre regula el plan estatal de vivienda y rehabilitación 2009-2012, que prevé la concesión de una serie de ayudas a quienes cumplan los requisitos previstos en la norma, para la promoción de viviendas protegidas de nueva construcción, o procedentes de la rehabilitación, destinadas a la venta, al uso propio o al arrendamiento, para el alquiler de viviendas nuevas o usadas, libres o protegidas destinadas a vivienda habitual del arrendatario, para la rehabilitación de conjuntos históricos, centros urbanos, barrios degradados y municipios rurales, para la mejora de la eficiencia energética y de la accesibilidad y la utilización de energías renovables, para la adquisición y urbanización de suelo para vivienda protegida y para la gestión del plan y la información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del Real Decreto 2066/2008 establece en qué consistirán las ayudas del plan. Este artículo ha sido modificado por el Real Decreto 1713/2010, de 17 de diciembre, para adaptarlo a los nuevos requerimientos de contención del gasto público y consolidación fiscal derivados de la crisis económica, y ha suprimido la ayuda estatal directa a la entrada. Así, tras dicha supresión, las ayudas financieras del plan consistirán en subsidios de préstamos convenidos y subvenciones. Ambas modalidades de ayuda encajan en la categoría de la subvención pues, siguiendo la definición que de subvención recoge el art. 2 de la Ley 38/2003, de 17 de noviembre, general de subvenciones, nos encontramos ante una disposición dineraria realizada por una Administración pública a favor de personas públicas o privadas, sin contraprestación directa de los beneficiarios, pero sujeta a la ejecución de un proyecto, como la construcción o rehabilitación de una vivienda, o la realización de una determinada actividad, como la adquisición o el arrendamiento de una vivienda, con el objeto de promover la realización de una finalidad pública, cual es la efectividad del derecho a la vivienda reconocido en 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resolución de las controversias que se suscitan respecto a la regulación y aplicación de las ayudas y subvenciones que puedan establecerse en las áreas o segmentos de la acción pública, hemos de partir de la distribución de competencias existente en la materia constitucional en la que proceda encuadrar las subvenciones de que se trate. Por ello, la resolución del presente conflicto exige comenzar por el encuadramiento competencial de las ayudas reguladas, a fin de determinar, si a la vista de las competencias del Estado y de la Comunidad Autónoma de Madrid, se ha producido la vulneración competencial denunciada, tomando como parámetro sustantivo la doctrina constitucional, especialmente la recogida en la STC 13/1992, de 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2066/2008, de 12 de diciembre, se aprueba al amparo de lo dispuesto en el art. 149.1.13 CE, que atribuye al Estado competencia exclusiva en materia de bases y coordinación de la planificación general de la actividad económica, excepto el art. 7 y la disposición adicional cuarta, que se dictan al amparo de lo dispuesto en el art. 149.1.18 CE, que atribuye al Estado la competencia exclusiva de ordenación de los registros e instrumentos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148.1.3 CE permite que las Comunidades Autónomas asuman competencias en materia de ordenación del territorio, urbanismo y vivienda. En este sentido el art. 26.1.4 del Estatuto de Autonomía de la Comunidad de Madrid, aprobado por Ley Orgánica 3/1983, de 25 de febrero, ha asumido dicha competencia como exclusiva. Ahora bien esto no quiere decir que el Estado carezca de todo mecanismo de intervención en materia de urbanismo y vivienda. En efecto, en materia de vivienda, la evidente conexión del mercado inmobiliario con la economía nacional ha posibilitado que el Estado siga ejercitando una función de fomento de dicha actividad y así lo ha reconocido este Tribunal en su Sentencia 152/1988, de 20 de julio. En efecto, según la citada Sentencia la competencia autonómica en materia de vivienda se halla limitada por las competencias del Estado sobre las bases y coordinación de la planificación general de la actividad económica. Tanto el art. 149 de la Constitución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la STC 152/1988, de 20 de julio, distingue en su fundamento jurídico 4 cuatro aspectos en los cuales se puede admitir la competencia estatal de fomento en materia de vivienda: la definición de las actuaciones protegidas; la regulación esencial de las fórmulas de financiación adoptadas (créditos cualificados, subsidiación de préstamos y subvenciones); el nivel de protección; y, la aportación de recursos estatales. En consecuencia, “la regulación estatal de cada uno de estos cuatro aspectos no invade competencia autonómica alguna, pues se halla legitimada por lo dispuesto en el art. 149.1.13 CE”. Ahora bien,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 Sólo de esta manera es posible conciliar el ejercicio de las competencias del Estado sobre la planificación y coordinación en el sector económico de la vivienda, incluida la utilización instrumental de sus competencias sobre las bases de ordenación del crédito, con las competencias autonómicas en materia de vivienda. Así, si las primeras legitiman una intervención del Estado que condiciona en parte la globalidad de la política de vivienda de cada Comunidad Autónoma, dicha intervención no puede extenderse, so pretexto de un absoluto igualitarismo, a la regulación de elementos de detalle de las condiciones de financiación que la priven de toda operatividad en determinadas zonas del territorio nacional. Antes bien, a las Comunidades Autónomas corresponde integrar en su política general de vivienda las ayudas reguladas por el Estado para el cumplimiento de las finalidades a que responden, con capacidad suficiente para modalizar, en su caso, las reglas generales, al objeto de conseguir una sustancial igualdad de resultados.”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han pronunciado las SSTC 59/1995, de 17 de marzo, y 61/1997, de 20 de marzo, al admitir la facultad estatal de intervenir en materia de vivienda amparándose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materia de urbanismo la STC 61/1997, de 20 de marzo, FJ 6 b) ha señalado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Tres son, por tanto, las competencias estatales más importantes mediante las cuales puede el Estado incidir legítima y puntualmente sobre la materia de urbanismo: la propiedad urbana, la expropiación forzosa y la responsabilidad administrativa. Es cierto que hay otras competencias que también podrán incidir de algún modo sobre el urbanismo. Entre ellas cabe destacar la competencia sobre las bases y coordinación general de la actividad económica, aunque la invocación de este título competencial estatal sólo podrá legitimarse si la norma de que se trate responde efectiva y estrictamente a la dirección general de la economía. Así lo hemos afirmado en la citada STC 61/1997, FJ 36, al señalar que el problema radica en determinar el alcance del art. 149.1.13 CE “cuando, como es el caso, incide sobre una competencia autonómica sectorial, porque, como hemos reiterado, ‘cuando el Estado se apoya en un título tan genérico como es el de bases y coordinación de la planificación de la actividad económica frente a la competencia exclusiva... de las Comunidades Autónomas, no puede, salvo cualificadas excepciones, continuar operando con todos los instrumentos de los que disponía con anterioridad a la descentralización del mismo, incidiendo continua y diariamente en una materia que ha quedado ampliamente fuera de su competencia...’ (STC 213/1994, FJ 10). Por lo que aquí interesa, tal inteligencia restrictiva del art. 149.1.13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pues,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 Por ello lo que debemos comprobar acto seguido es si, en los concretos preceptos del Real Decreto 2066/2008 frente a los que se interpone el presente conflicto positivo de competencia, el Estado se ha excedido en el ejercicio de las competencias que le reconoce el art. 149.1.13 CE, invadiendo, por tanto, las competencias de la Comunidad Autónoma de Madrid en materia urbanística y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136/2009, de 15 de junio, FJ 3, remitiéndose expresamente a la STC 13/1992, de 6 de febrero, cuando las Comunidades Autónomas tienen atribuidas competencias sobre la materia objeto de la subvención, nuestra doctrina ha distinguido entre: a) supuestos en los que el Estado no invoca título competencial alguno, mientras que la Comunidad Autónoma ostenta competencia exclusiva sobre una determinada materia; b) aquellos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los títulos competenciales estatales y autonómicos que resultan de aplicación en esta materia, nos encontramos en el ámbito de lo dispuesto en el fundamento jurídico 8 b) de la meritada STC 13/1992, que concurre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incluyendo en las mismas las relacionadas con la gestión de los fondos.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[STC 13/1992,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precepto impugnado es el art. 3.1 b). El art. 3 establece las condiciones generales que deberán reunir los demandantes de viviendas y financiación acogidos al Real Decreto 2066/2008, sin perjuicio de las que puedan establecer adicionalmente las Comunidades Autónomas. Así, entre dichas condiciones generales el apartado b) exige “estar inscrito en un registro público de demandantes, creado y gestionado de conformidad con lo que disponga la normativa de las Comunidades Autónomas y ciudades de Ceuta y Melilla sin perjuicio de lo dispuesto en la Disposición Transitoria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 este conflicto de competencias considera que este requisito es vulnerador de las competencias autonómicas en materia de vivienda en tanto no se acierta a comprender la conexión de dicha medida con la economía de la Nación, que es la competencia ejercitada por el Estado, a diferencia de lo que ocurre con el resto de los requisitos del citado precepto que aluden a la situación económico-patrimonial de los solicitantes. Por el contrario, para el Abogado del Estado basta hacer una lectura del precepto para comprobar que se trata de un artículo en el que no se regula un registro único de demandantes, sino que se limita a prever su creación y contenido básico (demandantes o solicitantes de vivienda protegida), con lo que traslada a cada Comunidad Autónoma la obligación de instaurar estos registros, declarando de forma expresa que la gestión de los mismos de carácter público o equivalentes corresponderá a cada Comunidad Autónoma de acuerdo con su normativa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registros públicos de demandantes fueron establecidos por primera vez en el Real Decreto 801/2005, de 1 de julio, por el que se aprobó el plan estatal de vivienda 2005-2008. En este sentido, el art. 13.7 del citado real decreto establecía que “la venta y adjudicación de las viviendas acogidas a este Real Decreto habrá de efectuarse a demandantes inscritos en los registros públicos previstos al efecto por las Comunidades Autónomas y Ciudades de Ceuta y Melilla, según los procedimientos que éstas regulen, que, en todo caso, deberán garantizar los principios de igualdad, publicidad, concurrencia, así como eliminar cualquier tipo de fraude en las primeras y posteriores transmisiones. No obstante ello, los convenios de colaboración con las Comunidades Autónomas y Ciudades de Ceuta y Melilla previstos en el artículo 78 de este Real Decreto, podrán prever otros procedimientos, que garanticen los principios citados en el párrafo anterior y de ellos se dará cuenta a las Comisiones Bilaterales de Seguimiento.”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con el plan estatal de vivienda 2009-2012 radica en que las Comunidades Autónomas podían prever otros procedimientos, distintos a la creación de un registro público, siempre y cuando garantizaran los principios de igualdad, publicidad y concurrencia. Concretamente, la Comunidad Autónoma de Madrid ya tenía instrumentado un sistema alternativo al registro público de demandantes, cual es la lista única de solicitantes de vivienda pública para arrendamientos con opción de compra para jóvenes, establecido por la Orden 3766/2005, de 7 de septiembre, y el registro de solicitudes de vivienda pública, previsto en el Decreto 19/2006, de 9 de febrero, por el que se regula el procedimiento de adjudicación de viviendas de titularidad del Instituto de la Vivienda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del Real Decreto 2066/2008 objeto de conflicto incluye entre los objetivos a alcanzar por el plan estatal de vivienda y rehabilitación 2009-2012, “establecer las condiciones que garanticen a los ciudadanos el acceso a la vivienda en condiciones de igualdad, impulsando la creación de registros públicos de demandantes de vivienda acogida a algún régimen de protección pública y que toda la producción de viviendas protegidas sea adjudicada con criterios de transparencia, publicidad y concurrencia, controlados por la administración pública”. Por su parte, también la disposición transitoria sexta, a la que se refiere el precepto impugnado, destaca la observancia de tales principios en la venta y adjudicación de viviendas protegidas, al señalar que “los registros públicos de demandantes a que se refiere este Real Decreto deberán estar en funcionamiento en el plazo de un año desde la publicación de aquél en el ‘Boletín Oficial del Estado’. Hasta ese momento, la venta y adjudicación de las viviendas en primeras y posteriores transmisiones se regulará por lo que disponga la normativa propia de las Comunidades Autónomas y ciudades de Ceuta y Melilla que, en todo caso, deberá garantizar los principios de igualdad, publicidad y concurrencia e impedir el fraude en las primeras y posteriores transmisiones.”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registro se crea, por tanto, como un instrumento adecuado para dotar a las adjudicaciones de viviendas protegidas de la máxima transparencia y rigor. En efecto, el registro público de demandantes constituye un mecanismo de asignación de beneficiarios de las viviendas protegidas que contribuye a evitar la posibilidad de que por los vendedores de dichas viviendas se exijan precios superiores a los administrativamente fijados. Así, la venta y adjudicación de las viviendas acogidas a la financiación del plan estatal de vivienda sólo podrá efectuarse a demandantes inscritos en los registros públicos previstos al efecto por las Comunidades Autónomas y ciudades de Ceuta y Melilla [art. 5.1 d)]. Como señala el Abogado del Estado, con la inscripción de los demandantes en los registros públicos se pretende obviar la aplicación de sobreprecios ilegales a las viviendas incluidas en el subsector protegido. De este modo se garantiza que el subsector protegido de vivienda, además de mantener las características que lo definen normativamente como tal, se consolide en los mercados de vivienda como una opción eficaz y creíble para satisfacer adecuadamente las necesidades de alojamiento de la población, especialmente la de ingresos medios y bajos, actuando a su vez como contrapeso y elemento moderador de las grandes fluctuaciones de precios que pueden aquejar a los mercados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obligación de inscripción en el correspondiente registro guarda directa relación con la dirección de la economía al constituir un elemento esencial de la finalidad que persigue la concesión de las correspondientes ayudas y una garantía fundamental para su efectividad. La inscripción en un registro público de demandantes resulta uno de los elementos más útiles para el eficaz cumplimiento de los objetivos estatales perseguidos con la concesión de ayudas económicas para la promoción de viviendas y su adquisición ya que a través de dicho registro se trata de asegurar el destino de las cantidades aportadas. Como señalamos en la STC 15/1989, 26 de enero, en relación con la obligatoria inscripción de las asociaciones de consumidores y usuarios que quisieran gozar de los beneficios previstos en una ley estatal en un registro del Ministerio de Sanidad y Consumo, “la exigencia de la necesaria inscripción ... en un libro-registro ... no puede estimarse inconstitucional, dado que esa exigencia o carga se vincula directamente a la posibilidad de acceder a los beneficios que prevea la propia Ley y las disposiciones reglamentarias y concordantes. La inscripción en dicho libro registro no es sino un elemento que, junto al cumplimiento de otros requisitos que reglamentariamente se determinarán para cada tipo de beneficio que se instituya, opera como una condición previa para el otorgamiento por el Estado de cualesquiera ayudas o beneficios, no advirtiéndose en ello condicionamiento ilegítimo alguno para las asociaciones constituidas con arreglo a la normativa propia”. Y la misma doctrina podemos aplicar a este supuesto, pues la inscripción en el registro público de demandantes de vivienda protegida constituye una condición previa impuesta por el Estado para acceder a las correspondientes ayudas sin que suponga condicionamiento alguno en la política de vivienda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obligación de inscripción en un registro público no infringe las competencias autonómicas puesto que se trata de establecer un requisito que deben cumplir los solicitantes, y es doctrina reiterada por este Tribunal que los requisitos para acceder a las ayudas constituyen uno de los aspectos centrales de toda regulación subvencional que se orientan a garantizar igual trato a todos los interesados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precepto impugnado es el apartado 1 del art. 6, sobre duración del régimen de protección de las viviendas y alojamientos protegidos y limitación del precio de las viviendas usadas. El tenor literal de este apartado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viviendas y alojamientos que se acojan a la financiación de este Plan, deberán estar sujetos a un régimen de protección pública, que excluya la descalificación voluntaria, incluso en el supuesto de subasta y adjudicación de las viviendas por ejecución judicial del préstamo, de la siguiente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carácter permanente mientras subsista el régimen del suelo, si las viviendas y alojamientos hubieran sido promovidos en suelo destinado por el planeamiento a vivienda protegida, o en suelo dotacional público, y, en todo caso, durante un plazo no inferior a 30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30 años, al menos, si las viviendas y alojamientos hubieran sido promovidos en otros suelos.”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conflicto considera que vulnera las competencias de la Comunidad Autónoma en materia de urbanismo, ya que condiciona los usos que la Comunidad Autónoma, en su normativa urbanística, establece para los suelos, y afecta a su política urbanística, ya que, al establecer el art. 38 de la Ley 9/2001, de 17 de julio, del suelo de la Comunidad Autónoma de Madrid, una reserva del 50 por 100 para vivienda protegida, ello puede originar una trama urbana con una altísima proporción de vivienda protegida congelada, afectando así al modelo de ciudad que la Comunidad Autónoma, en el uso de su competencia en materia de urbanismo, puede querer configurar. Además, considera que se lesiona también su competencia en materia de vivienda, pues el hecho de que el Gobierno central establezca una calificación perpetua de las viviendas protegidas construidas en suelos destinados por el planeamiento a vivienda protegida supone congelar dichos suelos permanentemente, sin posibilidad de que esas viviendas se descalifiquen, con lo cual el precepto estatal desvirtúa los deseos del legislador madrileño al fijar una reserva de suelo del 50 por 100. Para la Comunidad Autónoma de Madrid, al establecerse una calificación perpetua de las viviendas se está procediendo a vaciar la competencia autonómica en materia de vivienda ya que la Comunidad Autónoma ha de establecer forzosamente la calificación permanente para estas viviendas cuando la normativa autonómica utiliza el plazo en el que las viviendas han de estar protegidas como un instrumento de política de vivienda. En conclusión, a juicio de la Comunidad Autónoma de Madrid, no se acierta a entender por qué la economía nacional precisa que estas viviendas no puedan desclasificarse jamás por lo que, más que ante una medida de política económica, nos encontramos ante una medida de política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para el Abogado del Estado la limitación temporal en la descalificación voluntaria de las viviendas protegidas que hayan gozado de ayudas públicas conforme al plan estatal no constituye una regla urbanística, sino una medida básica de política económica que se inserta en la política de vivienda y que encuentra cobertura competencial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viviendas y alojamientos que se acojan a la financiación del plan estatal de vivienda deberán estar sujetas a un régimen de protección pública. Es decir, las ayudas tienen por objeto viviendas protegidas. En el glosario de conceptos utilizados en el Real Decreto 2066/2008 que aparece recogido como anexo a esta norma, las viviendas protegidas se definen como “las calificadas como de protección oficial o, más en general, como viviendas protegidas, por el órgano competente de las Comunidades Autónomas y ciudades de Ceuta y Melilla, que cumplan los requisitos establecidos en este Real Decreto. Las viviendas protegidas podrán destinarse a la venta o al arrendamiento y han de constituir el domicilio o residencia habitual y permanente de sus ocupantes, salvo en aquellos supuestos que determine expresamente este Real Decreto”. Así, las viviendas protegidas que pueden acogerse a la financiación del plan estatal de vivienda deben cumplir los siguientes requisitos enumerados en el art. 5 del Real Decreto 2066/2008: destinarse a residencia habitual y permanente del propietario o del inquilino; necesaria autorización de las Comunidades Autónomas para que la vivienda pueda transmitirse inter vivos o se pueda ceder su uso por cualquier título antes del transcurso de diez años; su venta o adjudicación sólo podrá efectuarse a demandantes inscritos en los registros públicos previstos al efecto en las Comunidades Autónomas; y, por último, estarán sometidas a los derechos de adquisición preferente y demás limitaciones determinadas por las Comunidades Autónomas que puedan materializarse en derechos de tanteo y retracto. Asimismo, las viviendas también deberán tener una superficie útil mínima y máxima de conformidad con lo dispuesto en el art. 8 del Real Decreto 2066/2008.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viviendas protegidas se caracterizan, así, por tener una serie de limitaciones que configuran un régimen jurídico de la vivienda protegida distinto del de la vivienda libre. Como ha señalado el Tribunal Supremo —Sentencia de 15 de enero de 2003— el régimen jurídico de las viviendas de protección oficial se traduce en la concesión de una serie de beneficios tanto para los promotores como para los adquirentes que tiene como contrapartida la sujeción a determinadas obligaciones que exceden de las normales que son propias de cualquier propietario no sujeto a ese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limitaciones que se imponen a las viviendas y alojamientos de protección pública que se acojan a la financiación del plan estatal de vivienda, el art. 6.1 del Real Decreto 2066/2008 introduce la prohibición de obtener la descalificación voluntaria de la vivienda de forma permanente mientras subsista el régimen del suelo, si las viviendas y alojamientos hubieran sido promovidos en suelo destinado por el planeamiento a vivienda protegida, y, en todo caso, durante un plazo no inferior a treinta años, o durante un plazo no inferior a treinta años, si las viviendas hubieran sido promovidas en otros suelos.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cuestión que debemos resolver es si puede el Estado imponer, como condición para acceder a las ayudas previstas en el plan estatal de vivienda, una duración al régimen de protección pública de las viviendas y alojamientos que se acojan a dichas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estatal de vivienda sólo establece condiciones de financiación para las actuaciones previstas en el mismo. Es decir, como señala el Abogado del Estado, sus prescripciones limitan su eficacia a las viviendas que se acojan a la financiación del plan sin condicionar la política de vivienda que puedan desplegar las Comunidades Autónomas mediante sus propios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pretende mantener un régimen jurídico de la protección pública de las viviendas y, por lo tanto, del control de precios y de las adjudicaciones, de larga duración. Si las ayudas que otorga el plan estatal de vivienda van destinadas a mejorar el acceso y uso de la vivienda a los ciudadanos con especiales dificultades económicas, la fijación de un mínimo temporal al régimen de protección pública no persigue sino garantizar la existencia de la vivienda en ese régimen y, por tanto, el cumplimiento de los fines para los cuales se ha llevado a cabo la inversión de dinero público. Como acertadamente vino a recordar, en relación con este precepto, la contestación del Gobierno de la Nación al previo requerimiento autonómico, “la duración del régimen de protección vinculado a la calificación de las viviendas protegidas, y que la Comunidad de Madrid califica de ‘perpetuo’, responde, precisamente, a la clara voluntad de asegurar tanto la honestidad como la eficacia en el uso del gasto público; siendo consustancial en toda la tradicional legislación, estatal o autonómica, sobre viviendas protegidas, cualquiera que sea su denominación a lo largo de la historia, el establecimiento de un período mínimo de vinculación a un determinado régimen jurídico tuitivo, de tal manera que el esfuerzo económico que hace la sociedad a través de los presupuestos públicos y de los recursos del conjunto del sistema financiero nacional, tenga un beneficioso efecto social y evite el enriquecimiento injustificado que podía suponer la transmisión especulativa de tales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por tanto lógico que el Estado o las Comunidades Autónomas establezcan un período mínimo de vinculación de las viviendas a un régimen jurídico de protección para compensar el esfuerzo económico realizado y que no se desvirtúe el sentido de la subvención otorgada. Nos encontramos así ante un criterio de ordenación de la vivienda con una clara finalidad económica. En efecto, la fijación de un período mínimo de vinculación de la vivienda a un régimen de protección pública constituye una auténtica contrapartida a los beneficios obtenidos con la adjudicación de dicha vivienda que garantiza el cumplimiento de los fines pretendidos con el establecimiento de estas ayudas públicas y que encuentra su fundamento en la demanda social de vivienda y en la necesidad de que exista un mercado de viviendas de protección oficial con un precio asequible. Por ello, podemos afirmar que la limitación temporal en la descalificación voluntaria de las viviendas protegidas que hayan recibido ayudas públicas conforme al plan estatal de vivienda tiene una incidencia directa y significativa en el sector económico, en la lucha contra la especulación y en la efectividad del derecho a la vivienda para los colectivos más desfavorecidos y encuentra cobertura competencial en el art. 149.1.13 CE. En este sentido, no podemos olvidar que la previsión de vivienda con un régimen de protección pública funciona como una técnica de intervención en el mercado inmobiliario con la finalidad de lograr en él los objetivos sociales y económicos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ninguna duda de que el Estado, en virtud del 149.1.13 CE, puede adoptar, en tanto que dirigido a facilitar el acceso a la vivienda, un plan consistente en la creación de ayudas dirigidas, entre otros, a los promotores de viviendas protegidas y a los demandantes de vivienda y, junto a ello, que pueda determinar los posibles beneficiarios, la cuantía que va a ser sufragada con cargo a los fondos estatales así como los requisitos para acceder a las ayudas. Todas ellas son cuestiones directamente ordenadas a la regulación del fin propuesto —facilitar el acceso a una vivienda—  formando parte de las condiciones esenciales de otorgamiento de las ayudas previstas las exigencias a cumplir para poder acceder a las mismas. En este sentido, la fijación de un plazo mínimo de duración del régimen de protección pública para aquellas viviendas que hayan accedido a las ayudas previstas en el plan constituye un elemento central de las condiciones de otorgamiento de las ayudas y resulta una exigencia de su percepción uniforme en todo el territorio nacional, garantizando así un trato igualitario a sus beneficiarios. Por ello, el art. 6.1 no vulnera las competencias de la Comunidad Autónoma de Madrid pues regula una de las condiciones que deben cumplir las viviendas de protección pública, que son precisamente el objeto de las ayudas, para poder acogerse a la financiación prevista en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debemos tener en cuenta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(STC 59/1995, de 17 de marzo). En este caso, el art. 6.1 está fijando un plazo mínimo de duración del régimen de protección pública, con lo que se deja un margen a las Comunidades Autónomas para que establezcan un plazo diferente.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promovido por la Comunidad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