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4 de mayo de 2012, el Procurador de los Tribunales don Argimiro Vázquez Guillén, en nombre y representación de la entidad Promotora de Informaciones, S.A., interpuso demanda de amparo contra Auto de la Sección Primera de la Sala de lo Contencioso-Administrativo del Tribunal Supremo recaído en recurso de casación núm. 1499-2011, contra Sentencia dictada por la Sala de lo Contencioso-Administrativo de la Audiencia Nacional en procedimiento ordinario núm. 57-2008.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29 de abril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Ordinaria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2605-2012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seis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