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8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julio de 2012, la Procuradora de los Tribunales doña María Luisa Sánchez Quero, en nombre y representación de Bmc Software Distribution BV, y bajo la dirección de la Letrada doña Ana Martínez Gutiérrez, interpuso demanda de amparo contra Auto en incidente de nulidad de actuaciones frente al anterior de la Sección Primera de la Sala de lo Contencioso-Administrativo del Tribunal Supremo en recurso de casación núm. 99-2011 contra Sentencia dictada por la Sección Segunda de la Sala de igual orden de la Audiencia Nacional en recurso núm. 329-2007.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mayo 2013,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toda vez que formó parte de la Sección Primera de la Sala Tercera del Tribunal Supremo, que dictó el Auto de 24 de mayo de 2012, que ha sido impugnado en el citado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 la abstención formulada por el Magistrado Excmo. Sr. don Juan José González Rivas en el recurso de amparo núm. 4592-2012 y apartarle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