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24 de octubre de 2011, la Sala de lo Contencioso-Administrativo del Tribunal Superior de Justicia de Cantabria remitió oficio al que se acompañaba testimonio del procedimiento ordinario núm. 1992-1998, del que forma parte el Auto de 20 de septiembre de 2011 mediante el que se plantea ante este Tribunal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1992-1998) interpuesto el 1 de diciembre de 1998 por una asociación contra el acuerdo de la Comisión de Gobierno del Ayuntamiento de Argoños de 13 de febrero de 1998, por el que se acordó otorgar licencia municipal para la construcción de doce viviendas en el “Camino del Portillo” de Argoños. La Sala de lo Contencioso-Administrativo del Tribunal Superior de Justicia de Cantabria dictó Sentencia el 1 de diciembre de 2000 y declaró la nulidad de la resolución recurrida por ser contraria al ordenamiento jurídico, ordenando la demolición de lo ilegalmente construido salvo que técnicamente fuera posible la legalización. Esta Sentencia fue declarada firme mediante providencia de 4 de octubre de 2001 al no tener por preparado el recurso de casación promovido por el Ayuntamiento de Argoños.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4 de noviembre de 2002 la asociación recurrente instó la ejecución forzosa de la Sentencia de 1 de diciembre de 2000. Con fecha 10 de diciembre de 2002 el Ayuntamiento de Argoños planteó la posible legalización de las obras, rechazándose por la Sala el incidente de inejecución mediante Auto de 28 de enero de 2003 y requiriendo, en consecuencia, al Ayuntamiento de Argoños para que procediera a su ejecución en sus propios términos. Entablado contra dicho Auto recurso de súplica por el Ayuntamiento de Argoños, fue desestimado por otro de 28 de marzo de 2003. Contra tales Autos el Ayuntamiento de Argoños preparó el oportuno recurso de casación, del cual desistió posteriormente (Auto del Tribunal Supremo de 14 de febrero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6 de junio de 2005 el Ayuntamiento de Argoños remitió a la Sala de lo Contencioso-Administrativo un proyecto de derribo, elaborado a su instancia, para un total de 151 viviendas. Con fecha 8 de noviembre de 2005 se efectúa una propuesta de financiación para abordar conjuntamente los diferentes derribos. Mediante Auto de 27 de septiembre de 2006 la Sala rechazó la pretensión del Ayuntamiento y ordenó la tramitación y cumplimiento del fallo de la Sentencia en los términos allí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26 de mayo de 2008 el Ayuntamiento solicitó la suspensión temporal a fin de que se requiriese al Gobierno de Cantabria para que informara del contenido del acuerdo de la Mesa del Parlamento de Cantabria de fecha 17 de diciembre de 2007, relativo a la elaboración de un plan para solucionar los problemas de las personas afectadas por Sentencias de derribo en Cantabria. Por Auto de la Sala de lo Contencioso-Administrativo de 3 de marzo de 2009 se otorga un plazo de seis meses para proceder al derribo de las doce viviendas por parte del Ayuntamiento de Argoños. El referido Ayuntamiento solicitó el 28 de mayo de 2009 que se designase al Gobierno de Cantabria como responsable de la ejecución de la Sentencia, posibilidad rechazada por Auto de la Sala sentenciadora de 27 de julio de 2009. Tras rechazar sucesivos incidentes de inejecución de Sentencia interpuestos por el Ayuntamiento de Argoños, la Sala, por Auto de 15 de febrero de 2010, acordó la ejecución subsidiaria del derribo de las doce viviendas objeto de la licencia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19 de mayo de 2011 el Ayuntamiento presentó un escrito solicitando la paralización de las actuaciones encaminadas al derribo de las doce viviendas señalando que, con la entrada en vigor de la disposición adicional sexta de la Ley del Parlamento de Cantabria 2/2001, de 25 de junio, de ordenación territorial y del régimen urbanístico del suelo de Cantabria, introducida por el art. 2 de la Ley de Cantabria 2/2011, de 4 de abril, resultaba obligada tal paralización en tanto se procedía a resolver el expediente de responsabilidad patrimonial incoado de oficio por el Ayuntamiento y se ponía a disposición de los propietarios de las viviendas a derribar el importe de la indemnización que se reconozca.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julio de 2011, la Sala de lo Contencioso-Administrativo, con suspensión del plazo para dictar resolución, acordó oír a las partes y al Ministerio Fiscal por el término común de diez días sobre la pertinencia de plantear cuestión de inconstitucionalidad respecto a la disposición adicional sexta de la Ley del Parlamento de Cantabria 2/2001, de 25 de junio, de ordenación territorial y del régimen urbanístico del suelo de Cantabria, introducida por el art. 2 de la Ley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trámite, el Ayuntamiento de Argoños y el Fiscal informaron favorablemente el planteamiento de la cuestión a lo que se opuso la parte demandante. La Sala dictó Auto con fecha 20 de septiembre de 2011, acordando plantear cuestión de inconstitucionalidad en relación con la disposición adicional sexta de la Ley del Parlamento de Cantabria 2/2001, de 25 de junio, de ordenación territorial y del régimen urbanístico de Cantabria, introducida por el art. 2 de la Ley de Cantabria 2/2011, de 4 de abril,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Todo ello en relación con los arts.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noviembre de 2011,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diciembre de 2011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14 de diciembre de 2011,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16 de diciembre de 2011,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 El Abogado del Estado limita sus alegaciones a la posible infracción del orden constitucional de competencia por violación de las competencias exclusivas del Estado de las materias sexta (legislación procesal) y decimoctava (sistema de responsabilidad de todas las Administraciones públicas) del art. 149.1 CE. En este punto comparte los razonamientos de la Sala proponente de la cuestión, que considera suficientemente claros, persuasivos y bien fundados.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23 de diciembre de 2011, el Letrado de los servicios jurídicos del Gobierno de Cantabria, formuló alegaciones interesando la desestimación de la cuestión de inconstitucionalidad. Rechaza en primer lugar que la norma impugnada suponga la invasión de la competencia estatal en materia de ejecución procesal ex art. 149.1.6 CE pues, a su juicio,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26 de diciembre de 2011, la representación procesal del Parlamento de Cantabria formuló alegaciones interesando la desestimación de la cuestión de inconstitucionalidad. 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se rechaza que la norma cuestionada vulnere la competencia estatal relativa al régimen de la responsabilidad patrimonial. A su juicio,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20 de enero de 2012 interesando la estimación parcial de la cuestión de inconstitucionalidad. Para el Fiscal General del Estado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5727-2011,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