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24 de octubre de 2011 tuvo entrada en el Registro General de este Tribunal escrito de la Sala de lo Contencioso-Administrativo del Tribunal Superior de Justicia de Cantabria, al que se acompañan las actuaciones recaídas en el procedimiento ordinario núm. 1200-1998 y acumulado 1914-1998, así como del Auto del mismo órgano judicial, de 20 de septiembre de 2011, por el que se plantea cuestión de inconstitucionalidad en relación con la disposición adicional sexta de la Ley del Parlamento de Cantabria 2/2001, de 25 de junio, de ordenación territorial y del régimen urbanístico del suelo de Cantabria, introducida por el art. 2 de la Ley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22 de marzo de 2000 del mismo órgano promotor de la presente cuestión, recaída en el procedimiento ordinario 1200-1998 y acumulado 1914-1998, se estimó el recurso interpuesto por la Asociación para la defensa de los recursos naturales de Cantabria (ARCA) contra el estudio de detalle aprobado por el Ayuntamiento de Argoños el 17 de julio de 1997, por inexistencia de estudio de detalle y por ser contrario a los valores paisajísticos y medioambientales que se tratan de proteger; Sentencia que fue declarada firme por la del Tribunal Supremo de 11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y tras distintas actuaciones procesales, el Ayuntamiento de Argoños solicitó la suspensión del procedimiento de ejecución al amparo de lo 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12 de julio de 2011, la Sala de lo Contencioso-Administrativo del Tribunal Superior de Justicia de Cantabria, de oficio, acordó oír a las partes personadas y al Ministerio Fiscal por el término común de diez días sobre la pertinencia de plantear cuestión de inconstitucionalidad, respecto a la disposición adicional sexta de la Ley 2/2001, de 25 de junio, introducida por el art. 2 de la Ley 2/2011, de 4 de abril, por si la norma pudiera alterar la legislación básica del Estado y competencias exclusivas derivadas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referido trámite de alegaciones, el órgano judicial dictó Auto de 20 de septiembre de 2011, planteando la cuestión de inconstitucionalidad en relación con la disposición adicional sexta de la Ley del Parlamento de Cantabria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inicia el Auto sus razonamientos jurídicos señalando que se solicita la suspensión de la ejecución de la Sentencia en tanto en cuanto se tramita el procedimiento de indemnización previsto en la disposición adicional sexta de la Ley 2/2001, de 25 de junio, introducida por el art. 2 de la Ley 2/2011, de 4 de abril,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reclamaciones patrimoniales que se han planteado en incidentes de ejecución, criterio que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de 26 de noviembre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propia Constitución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que esta previsión pretende incluir a los derribos consecuencia de resoluciones judiciales se deriva de lo dispuesto en el punto cinco de la referida disposición en cuanto dispone que “La Administración que tramite un expediente de responsabilidad patrimonial …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noviembre de 2011,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 de diciembre de 2011 tuvo entrada en el Registro General del Tribunal escrito del Presidente del Senado poniendo en conocimiento que, en ejercicio de la delegación conferida por la Mesa de la Diputación Permanente en reunión de 28 de septiembre de 2011,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en este Tribunal el 14 de diciembre de 2011, comunicó que la Mesa de la Diputación Permanente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16 de diciembre de 2011, interesando la inadmisión de la cuestión de inconstitucionalidad respecto de los apartados 1, 2, y 3 y los párrafos tercero, cuarto y sexto del apartado 4 de la disposición adicional sexta de la Ley 2/2001,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estatales. Pero este no es el caso de la norma cuestionada, puesto que el hecho generador de la responsabilidad está recogido en la legislación estatal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y el legislador autonómico se separa de uno de los elementos esenciales de la responsabilidad establecido en la misma, cual es el requisito de que el daño sea efectivo.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23 de diciembre de 2011, el Letrado de los servicios jurídicos del Gobierno de Cantabria, formuló alegaciones interesando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26 de diciembre de 2011,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en la ordenación de las consecuencias indemnizatorias previstas en al art. 122.2 CE. Finalmente, también encontraría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peculiaridades de la organización y a las necesidades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y evaluable económicamente.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20 de enero de 2012. Tras detallar el curso del proceso del que esta cuestión de inconstitucionalidad dimana, recoge sucintamente los motivos en los que el órgano judicial funda la inconstitucionalidad de la norma legal,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sólo el párrafo 5 del apartado 4 de la disposición adicional sexta pueda entenderse relevante para la decisión judicial a adoptar, sin que, por el contrario, lo sea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ha de coexistir con las competencias que el Estado ostenta en virtud del art. 149.1 CE. Tampoco las competencias sobre funcionamiento de sus instituciones de autogobierno y sobre el procedimiento administrativo derivado de las especialidades de la organización propia a que se refieren los núms. 1 y 32 del art. 24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a que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5728-2011,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