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127</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3 de junio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Ramón Rodríguez Arribas, Presidente, don Pablo Pérez Tremps, don Francisco José Hernando Santiago, don Luis Ignacio Ortega Álvarez, don Francisco Pérez de los Cobos Orihuel y doña Encarnación Roca Trías,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2763-2011, promovido por don M.G., representado por la Procuradora de los Tribunales doña María del Carmen Ortíz Cornago y asistido por la Abogada doña Elena Zarraluqui Navarro, contra la Sentencia de la Audiencia Provincial de A Coruña (Sección Quinta) de 25 de enero de 2011, recaída en rollo de apelación núm. 235-2010, contra la Sentencia del Juzgado de Primera Instancia núm. 10 de A Coruña, de 11 de noviembre de 2009, en procedimiento sobre relaciones paternofiliales 75-2009. Han intervenido doña S.B.B., representada por la Procuradora de los Tribunales doña María Inmaculada Mozos Serna y asistida por el Letrado don Esteban Mestre Delgado, y el Ministerio Fiscal. Ha sido Ponente el Magistrado don Luis Ignacio Ortega Álvarez,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Decanato de los Juzgados de Madrid el 10 de mayo de 2011 y en el Registro General de este Tribunal el 12 de mayo de 2011, la Procuradora de los Tribunales doña María del Carmen Ortiz Cornago, en nombre y representación de don M.G.,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20 de enero de 2009 doña S.B.B. formuló demanda sobre guarda y custodia, derecho de visitas y alimentos de su hija menor, que se siguió como juicio verbal ante el Juzgado de Primera Instancia núm. 10 de A Coruña, procedimiento de relaciones paternofiliales 75-2009.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26 de febrero de 2009 el padre de la menor, el ahora recurrente en amparo, contestó a la demanda planteando la falta de competencia judicial internacional de los tribunales españoles. Además, el 30 de enero de 2009 había promovido ante la autoridad central belga el retorno inmediato de la menor a Bélgica, de conformidad con lo establecido en el Convenio de La Haya de 1980, de 25 de octubre de 1980, sobre aspectos civiles de la sustracción internacional de menores y el Reglamento (CE) núm. 2201/2003 del Consejo, de 27 de noviembre de 2003, relativo a la competencia, el reconocimiento y la ejecución de resoluciones judiciales en materia matrimonial y de responsabilidad parental. Este procedimiento se siguió en España ante el Juzgado de Primera Instancia núm. 10 de A Coruña, procedimiento 237-2009. Por Auto del Juzgado de 20 de abril de 2009 se desestimó la solicitud de restitución de la menor al concluir el órgano judicial que no era un supuesto de sustracción internacional en los términos del Convenio. Este Auto, que no fue recurrido, puso fin al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conclusión del procedimiento 237-2009, el procedimiento 75-2009 siguió su curso y, por Auto de 27 de abril de 2009, el Juzgado de Primera Instancia núm. 10 de A Coruña se declaró competente con la siguiente motivación: “la parte plantea o arguye su posicionamiento de entender que han de ser competentes los tribunales de Bélgica, en que se ha producido un traslado ilegal de la misma [la menor] y a[l] respecto, reiteramos, este tribunal ya se ha pronunciado en sentido contrario y al socaire de dicho pronunciamiento hemos de entender que somos competentes conforme establece el art. 22.3 LOPJ” (fundamento jurídico único). Contra esta resolución el recurrente formuló incidente de nulidad de actuaciones, que fue desestimado por Auto de 16 de junio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requerimiento de la autoridad central belga el Juzgado de Primera Instancia núm. 10 de A Coruña comunicó la decisión española de no restitución de la menor al Tribunal de Primera Instancia de Bruselas. A este hecho siguieron varias actuaciones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17 de junio de 2009 el recurrente presentó escrito ante el Juzgado de Primera Instancia núm. 10 de A Coruña por el que solicitaba la suspensión del procedimiento 75-09. Argumentaba que se había trasladado la decisión de no retorno al Tribunal belga en aplicación del art. 11.6 del Reglamento 2201/2003 y que era el Tribunal belga el competente. La solicitud fue denegada por Auto del Juzgado de Primera Instancia núm. 10 de A Coruña, de 7 de julio de 2009. El Auto descartaba dicha interpretación del Reglamento, añadiendo “que ya por Auto de 27 de abril de 2009 se declaró la competencia de los tribunales españoles para conocer del procedimiento de guarda y custodia de la menor”. El recurrente interpuso recurso de reposición, que fue desestimado por Auto de 31 de julio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6 de julio de 2009 el recurrente presentó nuevo escrito reiterando, en idénticos términos, la solicitud de suspensión. Fue desestimada por Auto de 23 de julio de 2009, que repite la fundamentación jurídica del Auto de 7 de julio de 2009, recordando, además, que dicho Auto ya había desestimado esa pretensión. El recurrente interpuso recurso de reposición, que fue desestimado por Auto de 2 de octubre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7 de agosto de 2009 el recurrente promovió demanda ante el Tribunal de Primera Instancia de Bruselas, sobre la base del art. 11.7 del Reglamento 2201/2003. El recurrente solicitaba, entre otras, el retorno inmediato de la menor, la atribución de la guarda y custodia al padre y la imposición de multas coercitivas a la madre en caso de incumplimiento. Por Sentencia de 20 de octubre de 2009 el Tribunal belga acordó dichas medidas. La madre de la menor interpuso recurso de apelación. Por su parte, el padre, con fecha 22 de octubre de 2009, presentó escrito ante el Juzgado de Primera Instancia núm. 10 de A Coruña aportando la Sentencia belga y solicitando la suspensión del procedimiento 75-2009. La solicitud de suspensión fue denegada por providencia de 6 de noviembre de 2009, “al no concurrir causa legal que la ampare, ya que por Auto de 20 de abril de 2009 se ha declarado que no ha habido traslado ilegal ni sustracción internacional de la menor, así como por auto de fecha 27 de abril de 2009 se ha declarado la competencia de este Juzgado para conocer de la demanda promovida por la representación procesal de doña [S.B.B.]”.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procedimiento 75-2009 desembocó en la Sentencia del Juzgado de Primera Instancia núm. 10 de A Coruña, de 11 de noviembre de 2009. El Juzgado, a la vista de las circunstancias, “estima más ajustado a los intereses de la menor que continúe bajo la guarda y custodia de la madre”, establece la patria potestad compartida, un régimen de visitas para el padre y una pensión de alimentos a favor de la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del Juzgado de Primera Instancia núm. 10 de A Coruña, de 11 de noviembre de 2009, fue recurrida en apelación por ambas partes. La apelación se siguió ante la Audiencia Provincial de A Coruña (Sección Quinta), rollo 235-2010.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concierne al recurso de apelación del ahora recurrente en amparo, se solicitaba, como pretensión principal, la declaración de falta de competencia judicial internacional de los tribunales españoles, con nulidad de todo lo actuado. Argumentaba ampliamente que el asunto traía causa en un supuesto de sustracción internacional de menor y que el tribunal competente era el belga y no el español. Con carácter subsidiario solicitaba la atribución de la guarda y custodia de la menor y, con carácter subsidiario, impugnaba el régimen de visitas establecido y el modo en que habrían de abonarse los gastos extraordinarios. En cuanto al régimen de visitas, el recurrente consideraba que se había impuesto uno restrictivo y pedía otro notablemente más amplio.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recurso de apelación de la madre, y en lo que interesa a este recurso de amparo, se solicitaba restringir el régimen de visitas, en esencia, en lo atinente a las salidas de la menor del territorio español, por el peligro de que fuera objeto de traslado o retención ilícita por el padre que, se señalaba, no se consideraba vinculado por las resoluciones judiciales españolas y contaba con resoluciones belgas a su favor; todo ello, sin perjuicio de modificar las medidas si las resoluciones judiciales belgas y españolas llegasen a ser conciliables.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Ante los tribunales belgas, el recurso de apelación interpuesto por la madre contra la Sentencia del Tribunal de Primera Instancia de Bruselas, de 20 de octubre de 2009, fue resuelto por la Sentencia del Tribunal de Apelación de Bruselas, Sala Tercera, de 17 de junio de 2010. En lo que interesa a este recurso de amparo, esta Sentencia confirma la decisión del primer juez de declararse competente para conocer del asunto, de conformidad con el art. 11 del Reglamento 2201/2003, pero desestima las pretensiones del recurrente en amparo, relativas a la guarda y custodia de L. y la vuelta de ésta a Bélgica. En este sentido, el Tribunal de apelación parte de que el criterio determinante para pronunciarse sobre la guarda y custodia es el interés de la menor, prescindiendo, dice expresamente, de consideraciones sobre el conflicto entre los padres y los divergentes puntos de vista de los órganos belgas y españoles sobre el retorno de la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toma en consideración que la madre se ha vuelto a casar y tiene otro hijo, familia en la que vive la menor; que en estas circunstancias es ilusorio esperar que la madre se traslade a Bruselas. Pondera entonces la posibilidad de que la menor se trasladara sola a Bruselas, lo que descarta pues “no parece corresponder al interés de la niña”, que tiene 3 años y perdería la presencia de la madre, “el principal progenitor de referencia”, con la que siempre ha vivido, sin que el padre haya vivido nunca permanentemente con ella. Por el contrario, en España vive en una familia, con un hermano, lo que parece más propicio para su desarrollo social que una familia monoparental; en suma: “separar a [L.] del entorno maternal en el que vive ahora desde hace un año y medio, para encontrarse confiada, en otro país, a un padre con quien no vivió nunca, sin posibilidad de ver a su madre en otros momentos que durante los fines de semana y las vacaciones, implica un riesgo serio de grave traumatismo de la niña”.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de Apelación belga también valora que, aunque sostiene que el desplazamiento de la menor fue ilícito, “no se puede sin embargo sancionar el comportamiento reprehensible de la Sra. [B.B.] en detrimento del interés de la niña” y descarta que sólo si la niña vive con el padre se puedan asegurar los derechos del otro progenitor: “Se puede suponer que la actitud poco constructiva de la Sra. [B.B.] se puede vincular con la escalada del conflicto entre las partes y con la multiplicación de los procedimientos judiciales tanto en España como en Bélgica, y que fue dictada en gran parte por su temor a ver al Sr. [G.] llevarse a la niña con él a Bélgica, a falta de marco donde ejercer el derecho de visita. Se puede razonablemente esperar que la atribución por la presente decisión de la guarda y custodia de la pequeña [L.] a la Sra. [B.B.] permitirá aliviar el conflicto, y que la Sra. [B.B.] —o en su defecto, los órganos judiciales españoles, en adelante competentes— tendrán a bien restaurar vínculos normales entre L. y su padre y de asignar a este último un derecho de visita respetuoso con su lugar y su papel de padre”. Concluye la Sentencia: “Por lo demás, el tribunal considera que actualmente los órganos jurisdiccionales españoles son los más indicados para pronunciarse sobre el derecho de visita del Sr. [G.], en aplicación del art. 15 del Reglamento Bruselas II bis”.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aportó la Sentencia del Tribunal de Apelación de Bruselas, Sala Tercera, de 17 de junio de 2010, al rollo de apelación 235-2010 por escrito de 22 de junio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apelación interpuesta contra la Sentencia del Juzgado de Primera Instancia núm. 10 de A Coruña, de 11 de noviembre de 2009, fue resuelta por la Sentencia de la Audiencia Provincial de A Coruña (Sección Quinta) de 25 de enero de 2011. La Sentencia de la Audiencia Provincial confirma la competencia judicial internacional de los tribunales españoles (fundamento jurídico 2), confirma la atribución de la guarda y custodia de la menor a la madre (fundamento jurídico 3) y modifica el régimen de visitas establecido por la Sentencia del Juzgado de Primera Instancia, acogiendo íntegramente la pretensión del recurrente, (fundamento jurídico 4), incluso en lo relativo a la forma de abono de los gastos extraordinarios (fundamento jurídico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competencia judicial internacional, cuestión resuelta en el fundamento jurídico 2, la Sentencia se sostiene en los siguientes argumentos. En primer lugar, “aun cuando sea dudoso si era a los tribunales belgas o a los tribunales españoles a los que le correspondía la competencia para resolver el presente procedimiento de relaciones paterno filiales —para lo cual es suficiente con leer los distintos escritos presentados por la parte demandante y demandada y por el Ministerio Fiscal, así como las diferentes resoluciones dictadas por el Juzgado de Primera Instancia nº 10 y por el tribunal belga— y aun cuando los tribunales belgas, y más en concreto, la Sentencia del Tribunal de Apelación de Bruselas, Sala Tercera, de fecha 17 de junio de 2010, consideren que la competencia para conocer del presente litigio… les corresponde a los tribunales de ese país, no es menos cierto que, a pesar de ello, ni siquiera el Tribunal de Apelación de Bruselas considera que la Sentencia del Juzgado de Primera Instancia nº 10, objeto del presente recurso, sea nula… Es decir la Sentencia del Tribunal de Apelación de Bruselas de 17 de junio de 2010 reconoce que el presente procedimiento continúa en trámite, no cuestionando su validez”. En segundo lugar, la Sentencia belga no establece un régimen de visitas para el padre y, como ella misma constata, la Sentencia española de Primera Instancia sí, a lo que añade: “Por lo demás, el tribunal [belga] considera que actualmente los órganos jurisdiccionales españoles son los más indicados para pronunciarse sobre el derecho de visita del Sr. [G.], en aplicación del art. 15 del Reglamento”. Por lo tanto, dice la Audiencia Provincial, “al no pronunciarse los tribunales belgas sobre el derecho de visita del Sr. [G.] con su hija [L.], de aceptarse la pretensión de declarar la nulidad de la Sentencia de instancia, nos encontraríamos con que ningún tribunal, ni español, ni belga, regularía dicho régimen de visitas con lo que se conculcarían al mismo tiempo tanto el derecho del padre a mantener relaciones con su hija menor, como los de ésta a crecer conociendo y conviviendo con su padre, a pesar de los problemas que se plantean con la distancia geográfica en que se encuentran el uno del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fundamento jurídico 2 concluye así: “Dada la situación actual del conflicto —tener que decidir los tribunales españoles sobre el régimen de visitas que le corresponde al  [G.] con su hija menor— que hace innecesario que tengamos que pronunciarnos sobre la competencia ab initio de los tribunales de uno u otro país, entendemos que este tribunal —además de pronunciarse sobre el régimen de visitas, pensión alimenticia, etc.— debe también decidir, con anterioridad, sobre la guarda y custodia de la hija menor [L.].”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atribución de guarda y custodia de la menor, el fundamento jurídico, 3 reproduce literal e íntegramente (a salvo una frase en un evidente error material de trascripción) la fundamentación jurídica de la Sentencia del Tribunal de Apelación de Bruselas de 17 de junio de 2010 (que se ha resumido en el apartado e) de estos Antecedentes), a lo que añade únicamente lo siguiente: “Teniendo en cuenta todas las circunstancias que se relatan en la resolución del Tribunal belga, así como las razones expuestas por la sentencia de instancia, que la menor [L.] está próximo [sic] a cumplir 4 años y que desde su nacimiento ha vivido en compañía de su madre, no se le presenta ninguna duda a este tribunal de que la guarda y custodia de la menor debe ser atribuida a su madre doña [S.B.B.].”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derecho de visitas, el fundamento jurídico 4 de la Sentencia, con invocación del interés superior del menor, acoge la pretensión del padre de ampliación del régimen de visitas, en los términos por él propuestos. La Audiencia afirma que no está justificado el limitado derecho de visitas del padre, destaca el papel de la figura paterna, máxime cuando la madre se ha casado, tiene otro hijo y la menor se integra en dicha familia, y toma en consideración que la imposibilidad de que el padre vea más a la menor deriva de la decisión de la madre de trasladar su residencia.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Amén de en los referidos, los progenitores de la menor se han enfrentado en un piélago de procedimientos cruzados, entre otros, los que se refieren a continuación. El 6 de febrero de 2009 el recurrente promovió procedimiento de urgencia ante el Tribunal de Primera Instancia de Bruselas para la adopción de medidas provisionales, que fueron efectivamente adoptadas por Sentencia de 2 de junio de 2009, que fue objeto de recurso de apelación, resuelto por Sentencia de 14 de enero de 2010. Igualmente promovió ante los tribunales belgas procedimiento de embargo de bienes contra la madre, en aseguramiento del pago de las multas coercitivas. Además, las autoridades belgas expidieron orden europea de detención y entrega contra la madre, para el enjuiciamiento de un presunto delito de sustracción de menor, que fue denegada por Auto de la Sección Segunda de la Sala de lo Penal de la Audiencia Nacional, de 26 de febrero de 2010. Por su parte, la madre ha denunciado al padre ante la policía en varias ocasiones. En cuanto a la eficacia extraterritorial de las resoluciones judiciales que se pronunciaron sobre el régimen de relaciones paternofiliales, el recurrente promovió denegación de la eficacia en Bélgica de la Sentencia del Juzgado de Primera Instancia núm. 10 de A Coruña, de 11 de noviembre de 2009, pretensión que fue estimada por resolución belga de 12 de enero de 2010; asimismo solicitó la ejecución en España de la Sentencia de 20 de octubre de 2009, que fue desestimada por Sentencia del Juzgado de Primera Instancia núm. 10 de A Coruña de 23 de diciembre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denuncia la vulneración del derecho fundamental a la tutela judicial efectiva (art. 24.1 CE) en la vertiente de derecho fundamental a una resolución judicial motivada y fundada en Derecho, con invocación del art. 120.3 CE y doctrina constitucional sobre motivación y fundamentación en Derecho. También denuncia vulneración del “derecho a la protección social, económica y jurídica de la familia” (art. 39.1 CE), “derecho a la protección integral de los hijos” (art. 39.2 CE), “derecho de los niños a gozar de la protección prevista en los acuerdos internacionales que velan por sus derechos” (art. 39.4 CE), en conexión con el art. 10.2 CE. Alega que los órganos judiciales han inaplicado indebidamente el Reglamento 2201/2003 y que los tribunales españoles no eran competentes para conocer de la demanda de relaciones paternofiliales pues, sostiene, en el caso media la sustracción internacional de la menor y, en dicha circunstancia, conforme al Reglamento son competentes los tribunales belgas. A su juicio, los órganos judiciales han resuelto con una selección de la norma aplicable arbitraria, manifiestamente irrazonable y fruto de error patente que demanda la intervención de este Tribunal. En concreto, respecto a la Sentencia de la Audiencia Provincial, califica de “fundamentación incongruente, errónea, arbitraria e irrazonable”, la que le lleva a conocer del procedimiento con el argumento de que el Tribunal belga no se ha pronunciado sobre el derecho de visitas, “a pesar de reconocer que los tribunales españoles no tenían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solicita que este Tribunal plantee cuestión prejudicial al Tribunal de Justicia de la Unión Europea en interpretación del Reglamento 2201/2003, en los siguientes términos: “En el momento en que los tribunales españoles entraron a conocer sobre el fondo del asunto —regulación de la relación paternofilial entre el señor [G.] y su hija— carecían de competencia internacional para ello. ¿Esa falta de jurisdicción y competencia se mantiene durante la tramitación de todo el procedimiento? Es decir, ¿la falta de jurisdicción y competencia sigue existiendo en el momento en que la Audiencia Provincial de A Coruña dictó la Sentencia de 25 de enero de 2011? O por el contrario, ¿el transcurso del tiempo hace que los tribunales españoles sean internacionalmente competentes y la falta de jurisdicción y competencia que existía inicialmente desaparece?”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incluye un apartado en el que, bajo la rúbrica “relevancia constitucional” y con invocación del art. 50.1 b) de la Ley Orgánica del Tribunal Constitucional (LOTC), que se reproduce, se reitera la vulneración de derechos fundamentales denunciada. Dado que dicha vulneración tendría su origen en “la violación palmaria de los Tratados internacionales y Convenios suscritos por España, superiores a la ley interna, como lo es el Reglamento 2201/2003”, sostiene el recurrente, se “plantea una cuestión jurídica de relevante y general repercusión social, además de unas consecuencias políticas generales”. También manifiesta, con invocación del ATC 188/2008, de 21 de julio, y la STC 155/2009, de 25 de junio, que el requisito establecido en el art. 49.1 en relación con el art. 50.1 b) LOTC “no puede servir para mermar la protección de los derechos fundamentales tanto en sede de tribunales ordinarios como ante la propia jurisdicción constitucional, alterando la naturaleza del recurso de amparo ante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5 de julio de 2012, la Sala Segunda acordó admitir a trámite la demanda y, a tenor de lo dispuesto en el art. 51 LOTC, requerir a la Sección Quinta de la Audiencia Provincial de A Coruña para que en el plazo de diez días remitiera testimonio de las actuaciones correspondientes al rollo de apelación núm. 235-2010, así como requerir al Juzgado de Primera Instancia núm. 10 de A Coruña, para que en el plazo de diez días remitiera testimonio de las actuaciones correspondientes al procedimiento sobre medidas paternofiliales núm. 75-2009, interesándose al tiempo que se emplazara a quienes fueron parte en el procedimiento, a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12 de septiembre de 2012 la Procuradora de los Tribunales doña María Inmaculada Mozos Serna, actuando en nombre y representación de doña S.B.B., solicitó se le tuviera por personada y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14 de septiembre de 2012, la Sala Segunda de este Tribunal tuvo por personada y parte en el procedimiento a la procuradora doña María Inmaculada Mozos Serna en nombre y representación de doña S.B.B. y dio vista de las actuaciones recibidas a las partes personadas y al Ministerio Fiscal por plazo común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demandante de amparo formuló sus alegaciones mediante escrito que tuvo su entrada en el Registro de este Tribunal el día10 de octubre de 2012, en el que se ratifica íntegramente en la demanda de amparo y reitera los argumentos allí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que tuvo entrada en el Registro General de este Tribunal el día 18 de octubre de 2012 presentó alegaciones la procuradora doña María Inmaculada Mozos Serna, en nombre y representación de doña S.B.B., interesando se declare inadmisible el recurso o, subsidiariamente, se deniegue el amparo, y se acuerde no acceder a plantear cuestión prejudicial al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contraparte sostiene que el recurso de amparo debe ser inadmitido. Alega que el recurso está incurso en la causa de inadmisión del art. 50.1 a), en relación con el art. 44.1 a) y c) LOTC por falta de agotamiento de la vía judicial previa y falta de invocación pues las vulneraciones de derechos denunciadas se circunscriben a la motivación de la Sentencia de la Audiencia Provincial, por lo que el recurrente no pudo acudir a este Tribunal directamente, sin antes plantear incidente de nulidad de actuaciones, preceptivo en el caso, según los términos del art. 241.1 de la Ley Orgánica del Poder Judicial. Igualmente, la contraparte defiende que ni el recurrente ha justificado la especial trascendencia constitucional, ni dicha especial trascendencia concurre en la demanda. Argumenta que el recurso incluye un apartado sobre “relevancia constitucional”, con cita de los arts. 49.1 y 50.1 b) LOTC, pero sin referencia concreta al caso de autos, con la única alusión a que “plantea una cuestión jurídica relevante y de gran repercusión social, además de unas consecuencias políticas generales”, cuando, a su juicio, la admisión a trámite de los recursos de amparo no se puede condicionar en función de las repercusiones sociales o políticas que puedan existir. Asimismo, el recurso de amparo se constriñe a una queja por motivación, sobre lo que existe abundante doctrina constitucional, por lo que no plantea ninguna cuestión nueva a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caso de que no se aprecien las causas de inadmisión precitadas, la contraparte interesa que se deniegue el amparo solicitado, lo cual sustenta en tres líneas argumentales.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defiende que no se ha producido vulneración del derecho fundamental pues la Sentencia de la Audiencia Provincial está motivada y fundada en Derecho: pondera las resoluciones de los tribunales belgas, la prueba practicada en el procedimiento y las relaciones entre las partes. Y no es cierto lo que afirma el recurrente, esto es, que el Tribunal español no declarase la nulidad y entrara al fondo pese a reconocer que no tenía competencia. Al contrario, el Tribunal español afirma su competencia y lo fundamenta en diversos argumentos: el pronunciamiento del Tribunal de Apelación de Bruselas, la situación que derivaría de la nulidad, pues no habría tribunal competente para establecer un régimen de visitas, el interés del menor y la comprensión por el tribunal de la complejidad del caso, que se manifiesta en la no imposición de costas. Además, la competencia judicial internacional del Tribunal español era una cuestión ya resuelta por una resolución judicial firme (el Auto del Juzgado de Primera Instancia núm. 10 de A Coruña, de 27 de abril de 2009). Por último, destaca que hay otras resoluciones judiciales españolas, ajenas a este procedimiento, que se han pronunciado sobre la competencia: el Auto por el que se denegó el reconocimiento y ejecución en España de la Sentencia del Juzgado de Primera Instancia de Bruselas, de 11 de noviembre de 2009 (Auto del Juzgado de Primera Instancia núm. 10 de A Coruña, de 23 de diciembre de 2009, autos 1177-2009), y el Auto por el que se denegó la orden europea de detención y entrega dictada por los tribunales belgas dirigida contra la madre (Auto de la Sección Segunda de la Sala de lo Penal de la Audiencia Nacional, de 26 de febrero de 2010, rollo 350-2009).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interesa la denegación del amparo solicitado porque el recurrente denuncia la vulneración de los derechos protegidos en el art. 39.1, 2 y 4 CE, cuando dichos derechos no son susceptibles de amparo, de conformidad con el art. 41 LOTC. En cuanto a la denuncia relativa a la vulneración del derecho fundamental a la tutela judicial efectiva, se hace sin más precisión en cuanto al derecho fundamental supuestamente vulnerado, sin cita de doctrina constitucional, sin sustento alegatorio en términos constitucionales, de suerte que el recurso se reduce simplemente a una interpretación alternativa de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tercera línea argumental la contraparte sustenta la denegación del amparo porque no hay en la Sentencia de la Audiencia Provincial ni error patente de relevancia constitucional ni una interpretación arbitraria o irrazonable de la legalidad ordinaria. En este punto se afirma que la cuestión, no sólo permanece en el plano de la legalidad ordinaria, sino que, a mayor abundamiento, en términos de pura legalidad ordinaria, la resolución judicial es correcta: el traslado de la menor a España fue lícito, luego la norma de competencia judicial internacional aplicable era la establecida en el art. 8 del Reglamento 2201/2003, de la que se colige la competencia judicial internacional del Tribunal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cuanto al planteamiento de la cuestión prejudicial se argumenta su improcedencia. Según la contraparte, la cuestión tiene su origen en una premisa errónea ya que, insiste, los Tribunales españoles siempre fueron competentes. Además, la interpretación y validez del Reglamento no ha sido cuestionada. Lo que el recurso de amparo plantea es si la Sentencia está fundamentada o no, y si ha aplicado de forma arbitraria o irrazonable la ley, no la interpretación de ningún precepto concreto, y, si se quiso plantear, debió proponerse ante la Audiencia Provincial. Al fin, es innecesaria toda vez que, según la contraparte, este Tribunal ya se ha pronunciado en casos muy similares.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23 de octubre de 2012 presentó sus alegaciones el Ministerio Fiscal interesando la desestimación del recurso de amparo y mostrando su disconformidad con el planteamiento de cuestión prejudicial, por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considera que la fundamentación de la Sentencia no es constitucionalmente censurable pues contiene una motivación que no es arbitraria ni irrazonable. En este sentido, valora que la solución adoptada por la Audiencia Provincial, a la que el recurrente tilda de arbitraria, “es igual” a la adoptada por el Tribunal de Apelación belga, y que el Tribunal belga, aun considerándose inicialmente competente, estima más conveniente que actúe el juez español, de conformidad con el art. 15 del Reglamento 2201/2003. El Ministerio Fiscal también subraya la toma en consideración del paso del tiempo, que no es un argumento baladí, y el protagonismo en la motivación del interés del menor, que “debe ser considerado en línea preferente”.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planteamiento de cuestión prejudicial, el Ministerio Fiscal sostiene su improcedencia porque no se propone como referida a un concreto precepto, lo que raya en el debate doctrinal, incompatible con la naturaleza de la cuestión prejudicial. Además, la cuestión prejudicial ha de ser necesaria para el fallo y, dado que se propone al Tribunal Constitucional, ha de suponer la confrontación entre un artículo de la Constitución y una norma de Derecho comunitario, de suerte que, como ocurre en el caso de autos, “cualquier otro planteamiento para resolver dudas legales tendría un carácter infraconstitucional y debería haberse planteado en la vía jurisdiccional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30 de mayo de 2013 se señaló para deliberación y votación de la presente Sentencia el día 3 de junio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Audiencia Provincial de A Coruña (Sección Quinta) de 25 de enero de 2011, recaída en rollo de apelación núm. 235-2010, contra la Sentencia del Juzgado de Primera Instancia núm. 10 de A Coruña, de 11 de noviembre de 2009, en procedimiento sobre relaciones paternofiliales 75-2009. Se funda la demanda en la vulneración del derecho fundamental a la tutela judicial efectiva (art. 24.1 CE) en la vertiente de derecho fundamental a una resolución judicial motivada y fundada en Derecho, del derecho a la protección social económica y jurídica de la familia (art. 39.1 CE), del derecho a la protección integral de los hijos (art. 39.2 CE) y del derecho de los niños a gozar de la protección prevista en los acuerdos internacionales que velan por sus derechos (art. 39.4 CE). La contraparte solicita la inadmisión y, subsidiariamente, la desestimación del recurso de amparo y considera improcedente el planteamiento de la cuestión prejudicial propuesta. El Ministerio Fiscal solicita la desestimación del recurso de amparo y considera improcedente el planteamiento de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dijimos en la STC 57/2013, de 11 de marzo, la circunstancia de que esté involucrado un menor de edad en el presente recurso de amparo, explica que, de conformidad con el art. 8 de las Reglas mínimas de las Naciones Unidas para la administración de justicia de menores, conocidas como Reglas de Beijing, e incluidas en la resolución de la Asamblea General 40/33, de 29 de noviembre de 1985, no se incluyan en esta resolución el nombre y los apellidos completos del menor de edad ni de sus padres.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la queja formulada en la demanda de amparo debemos pronunciarnos sobre los óbices de admisibilidad aducidos por la contraparte. Según sostiene, el recurso de amparo debería inadmitirse porque, de un lado, el recurrente no justifica en su demanda la especial trascendencia constitucional, ni dicha especial trascendencia constitucional concurre y, de otro, por falta de agotamiento de la vía judicial previa y falta de invocación previa del derecho fundamental vulnerado tan pronto como, una vez conocida la violación, hubiere lugar para ello. Como ha quedado expuesto, el Ministerio Fiscal no advierte carencia de estos requisitos.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justificación de la especial trascendencia constitucional ha de recordarse que conforme a lo dispuesto en el art. 50.1 a) de la Ley Orgánica del Tribunal Constitucional (LOTC), el recurso de amparo no puede ser admitido a trámite si el recurrente no cumple —además de los restantes requisitos procesales previstos en los arts. 42 a 44 LOTC— la ineludible exigencia impuesta por el art. 49.1 in fine LOTC de justificar en la demanda de amparo la especial trascendencia constitucional del recurso (por todas, SSTC 155/2009, de 25 de junio, FJ 2; y 69/2011, de 16 de mayo, FJ 2; AATC 188/2008, de 21 de julio, FJ 1; 289/2008 y 290/2008, ambos de 22 de septiembre,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—como destacábamos en la STC 69/2011, de 16 de mayo, FJ 3— ha ido realizando numerosas precisiones en cuanto al modo de dar cumplimiento a esta exigencia, destacando fundamentalmente que es algo distinto de razonar sobre la existencia de la vulneración de un derecho fundamental, de modo que en la demanda ha de disociarse adecuadamente la argumentación tendente a justificar la existencia de lesión de un derecho fundamental de aquella dirigida a justificar la especial trascendencia constitucional, exigiendo al recurrente un “esfuerzo argumental” que ponga en conexión las vulneraciones constitucionales que alega con los criterios establecidos en el art. 50.1 b) LOTC, precepto este último, según el cual, la especial trascendencia del recurso se apreciará atendiendo a “su importancia para la interpretación de la Constitución, para su aplicación o para su general eficacia, y para la determinación del contenido y alcance de los derechos fundamentales”. A lo que ha de añadirse que en la STC 155/2009, de 25 de junio, FJ 2, el Tribunal ha identificado, sin ánimo exhaustivo, determinados supuestos en los que concurriría esa especial trascendencia constitucional, avanzando en la interpretación del art. 50.1 b) LOTC y facilitando a los recurrentes el cumplimiento de la carga justificativa que impone el art. 49.1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autos, el recurso de amparo disocia adecuadamente la argumentación tendente a justificar la existencia de la lesión de la dirigida a justificar la especial trascendencia: dedica un apartado específico a la especial trascendencia constitucional (páginas 22 y 23 de la demanda de amparo) en el que, no sólo se reiteran argumentos utilizados en sustento de la lesión sino que también se incorporan otros, referidos a la especial trascendencia como requisito distinto de aquella. Igualmente se constata en el recurso de amparo un esfuerzo argumental para conectar las vulneraciones denunciadas y los criterios establecidos en el art. 50.1 b) LOTC y en la STC 155/2009, de 25 de junio, FJ 2 (STC 170/2011, de 3 de noviembre, FJ 3); conexión tanto material como formal, pues el recurrente invoca expresamente el apartado g) “cuando el asunto suscitado, sin estar incluido en ninguno de los supuestos anteriores, trascienda del caso concreto porque plantee una cuestión jurídica de relevante y general repercusión social o económica o tenga unas consecuencias políticas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cual, en relación con la especial trascendencia constitucional ha de recordarse que corresponde únicamente a este Tribunal Constitucional apreciar en cada caso la existencia o inexistencia de esa “especial trascendencia constitucional”, esto es, si el contenido del recurso justifica una decisión sobre el fondo, atendiendo, conforme al art. 50.1 b) LOTC, a “su importancia para la interpretación de la Constitución, para su aplicación o para su general eficacia y para la determinación del contenido y alcance de los derechos fundamentales” (por todas, STC 95/2010, de 15 de noviembre, FJ 4). El carácter notablemente abierto e indeterminado, tanto de la noción de “especial trascendencia constitucional”, como de los criterios legalmente establecidos para su apreciación, confieren a este Tribunal un amplio margen decisorio para estimar cuándo el contenido de un recurso de amparo justifica una decisión sobre el fondo en razón de su especial trascendencia constitucional. Como es obvio, la decisión liminar de admisión a trámite del recurso al apreciar el cumplimiento del citado requisito no limita las facultades del Tribunal sobre la decisión final de estimación o desestimación del asunto (STC 155/2009, de 25 de junio, FJ 2). Pues bien, en la fase de admisión del presente recurso de amparo este Tribunal concluyó que concurría la especial trascendencia constitucional exigida para su admisión a trámite, sin que encontremos razones para modificar esa inicial apreciación en el momento procesal en que ahora nos hallamos, habida cuenta del perfil específico que presenta el caso de autos, resultante de su complejidad y los intereses en presencia, y la singularidad del criterio de competencia judicial internacional exteriorizado.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contraparte alega también que el recurso de amparo incurre en falta de agotamiento de la vía judicial previa y falta de invocación previa del derecho fundamental vulnerado tan pronto como, una vez conocida la violación, hubiere lugar para ello (art. 50.1 a) en relación con el art. 44.1 a) y c) LOTC. Su argumentación parte de la premisa de que las vulneraciones de derechos denunciadas se circunscriben a la Sentencia de la Audiencia Provincial, por lo que el recurrente no pudo acudir a este Tribunal directamente, sin antes plantear incidente de nulidad de actuaciones, preceptivo, de conformidad con el art. 241.1 de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premisa de la que parte esta alegación no es exacta. Como ha quedado expuesto en los antecedentes, los términos en los que el recurrente delimita su queja son confusos ya que, si bien se refiere ocasionalmente a la motivación concreta de la Sentencia de apelación, su discurso principal, que desarrolla de forma prolija y reiterada, y que es el que sostiene su pretensión de amparo, es el atinente a dos cuestiones: la inaplicación del Reglamento (CE) núm. 2201/2003 del Consejo, de 27 de noviembre de 2003, relativo a la competencia, el reconocimiento y la ejecución de resoluciones judiciales en materia matrimonial y de responsabilidad parental, y la competencia judicial internacional de los Tribunales españoles. Por tanto, habida cuenta de que el recurrente ha planteado su denuncia en estos términos, y con independencia del juicio que merezca la corrección técnica y la viabilidad de dicho planteamiento, el incidente puede no reputarse imprescindible para el agotamiento de la vía judicial cuando la lesión, así enunciada, en puridad, tendría su origen en la instancia y, denunciada, no habría sido enmendada en la apelación. Con la misma lógica, dado que ambas cuestiones están presentes en el escrito de apelación, se puede tener por cumplido el requisito ex art. 44.1 c) LOTC en una interpretación flexible y finalista de dicho precepto, pues el cumplimiento de este requisito no exige que en el proceso judicial se haga una mención concreta y numérica del precepto constitucional en el que se reconozca el derecho vulnerado o la mención de su nomen iuris, siendo suficiente que se someta el hecho fundamentador de la vulneración al análisis de los órganos judiciales, dándoles la oportunidad de pronunciarse y, en su caso, de reparar la lesión del derecho fundamental que posteriormente se alega en el recurso de amparo (por todas, SSTC 133/2002, de 3 de junio, FJ 3; 228/2002, de 9 de diciembre, FJ 2; y 133/2010, de 2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descartados los óbices de admisibilidad planteados es preciso depurar el objeto de la demanda de amparo. Aunque el recurrente refiere la vulneración de los derechos recogidos en el art. 39.1, 2 y 4 CE, esta queja ha de rechazarse a radice por cuanto, de conformidad con los arts. 53.2 CE y 41.1 LOTC, los derechos y libertades susceptibles de amparo son los reconocidos en los arts. 14 a 29 CE y la objeción de conciencia reconocida en el art. 30 CE. Por tanto, el objeto de esta demanda se concreta en determinar si el recurrente ha visto vulnerado su derecho fundamental a la tutela judicial efectiva sin indefensión (art. 24.1 CE) en la vertiente de derecho a una resolución judicial motivada y fundada en Derecho, en cuanto a la declaración de competencia judicial internacional de los tribunales españoles. Se ha señalado anteriormente que el recurrente delimita su queja de forma que el conjunto de su argumentación combate tanto la motivación de la Audiencia como la del Juzgado. Pues bien, aunque la Sentencia de la Audiencia confirma la competencia de los tribunales españoles con una motivación sustancialmente distinta y sin tachar la del Juzgado, habida cuenta de que resuelve de forma definitiva sobre la cuestión, el análisis de este Tribunal ha de constreñirse a la motivación y fundamentación en Derecho de la Sentencia de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recordado en la STC 64/2010 de 18 de octubre, FJ 3, el derecho fundamental a la tutela judicial efectiva (art. 24.1 CE) no incluye un pretendido derecho al acierto judicial en la selección, interpretación y aplicación de las disposiciones legales, pero sí comprende, entre otras dimensiones, el derecho a obtener una resolución judicial motivada que, a su vez, según la doctrina constitucional, presenta varias manifestaciones. Supone, en primer lugar, que la resolución ha de estar suficientemente motivada, es decir, contener los elementos y razones de juicio que permitan conocer cuáles han sido los criterios jurídicos que fundamentan la decisión; y en segundo lugar, que la motivación debe contener una fundamentación en Derecho, lo que conlleva la garantía de que la decisión no sea consecuencia de una aplicación arbitraria de la legalidad, ni resulte manifiestamente irrazonable, incursa en un error patente o en una evidente contradicción entre los fundamentos jurídicos, o entre éstos y el fallo, ya que, en tal caso, la aplicación de la legalidad sería tan sólo una mera apariencia (SSTC 147/1999, de 4 de agosto, FJ 3; 25/2000, de 31 de enero, FJ 2; 87/2000, de 27 de marzo, FJ 3; 82/2001, de 26 de marzo, FJ 2; 221/2001, de 31 de octubre, FJ 6; 55/2003, de 24 de marzo, FJ 6; 223/2005, de 12 de septiembre, FJ 3; y 276/2006, de 25 de septiembre, FJ 2,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precisó en la STC 214/1999, de 29 de noviembre, que “cuando lo que se debate es, como sucede en este caso, la selección, interpretación y aplicación de un precepto legal que no afecta a los contenidos típicos del art. 24.1 CE o a otros derechos fundamentales, tan sólo podrá considerarse que la resolución judicial impugnada vulnera el derecho a la tutela judicial efectiva cuando el razonamiento que la funda incurra en tal grado de arbitrariedad, irrazonabilidad o error que, por su evidencia y contenido, sean tan manifiestos y graves que para cualquier observador resulte patente que la resolución de hecho carece de toda motivación o razonamiento” y, más adelante, afirmó que “es cierto que, en puridad lógica, no es lo mismo ausencia de motivación y razonamiento que motivación y razonamiento que por su grado de arbitrariedad o irrazonabilidad debe tenerse por inexistente; pero también es cierto que este Tribunal incurriría en exceso de formalismo si admitiese como decisiones motivadas y razonadas aquellas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(FJ 4), criterios éstos que hemos reiterado posteriormente (por todas, SSTC 96/2006, de 27 de marzo, FJ 6; y más recientemente 105/2009, de 4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normas de competencia judicial internacional, vinculadas al derecho fundamental de acceso a la jurisdicción (art. 24.1 CE) y, por tanto, al principio de interpretación pro actione, este Tribunal ha dicho que las reglas ordenadoras de la competencia judicial internacional (esto es, de los supuestos en los que el ordenamiento de un Estado atribuye competencia para conocer de la resolución de un litigio a sus propios órganos jurisdiccionales, siempre dentro de los límites que el Derecho Internacional le impone, que configuran la noción de jurisdicción del Estado) responden todas ellas, en primer y fundamental lugar, a una doble y relativamente contrapuesta exigencia constitucional. De una parte, a nadie puede exigírsele una diligencia irrazonable o cargas excesivas para poder ejercitar su derecho de defensa en juicio; de modo que el demandado en el proceso civil sólo podrá ser sometido a una determinada jurisdicción si las circunstancias del caso permiten considerar que el ejercicio del derecho de defensa no se verá sometido a costes desproporcionados. De otra parte, desde el punto de vista procesalmente activo, es preciso asegurar una posibilidad razonable, según las circunstancias, de accionar ante la Justicia (STC 61/2000, 13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Antes de analizar la motivación controvertida conviene hacer una observación que afecta de forma concluyente a la argumentación con la que el recurrente sostiene la queja que trae en amparo. El recurrente parte de la premisa de que la menor fue trasladada ilícitamente. Para tales casos, de conformidad con el art. 10 del Reglamento 2201/2003, en materia de responsabilidad parental son competentes los órganos jurisdiccionales del Estado miembro en el que residía habitualmente el menor inmediatamente antes del traslado, frente a la competencia general prevista en el art. 8 del Reglamento, que determina la competencia de los órganos jurisdiccionales del Estado de residencia habitual del menor en los supuestos en que no subyace una sustracción internacional. Pues bien, en un procedimiento anterior al que es objeto de este amparo, los Tribunales españoles establecieron que el traslado de la menor fue lícito. Hay que poner de relieve que, ante aquella resolución judicial, el recurrente se aquietó y la resolución devino firme sin haber sido recurrida. Concluido el procedimiento en el que se declaró lícito el traslado, la fundamentación de cualquier resolución judicial posterior de los tribunales españoles, en lo que ahora interesa, en relación con la cuestión de la competencia judicial internacional, no puede soslayar la situación declarada en el procedimiento previo so riesgo de incurrir en vulneración del derecho fundamental a la intangibilidad de las resoluciones judiciales firmes (art. 24.1 CE) pues el órgano judicial, como este Tribunal ha dicho, no puede desconocer lo resuelto por Sentencia firme en el marco de procesos que examinan cuestiones que guardan con aquélla una relación de estricta dependencia (SSTC 219/2000, de 18 de septiembre, FJ 5; 151/2001, de 2 de julio, FJ 3; 231/2006, de 17 de julio, FJ 2, y 208/2009, de 26 de noviembre,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Entrando en el análisis de la motivación de la Sentencia de la Audiencia Provincial, como ha quedado expuesto en los antecedentes, la Audiencia tras afirmar que el propio Tribunal belga no cuestiona la validez del procedimiento en curso en España, argumenta lo siguiente: “al no pronunciarse los tribunales belgas sobre el derecho de visita del Sr. [G.] con su hija [L.], de aceptarse la pretensión de declarar la nulidad de la Sentencia de instancia, nos encontraríamos con que ningún tribunal, ni español, ni belga, regularía dicho régimen de visitas con lo que se conculcarían al mismo tiempo tanto el derecho del padre a mantener relaciones con su hija menor, como los de ésta a crecer conociendo y conviviendo con su padre, a pesar de los problemas que se plantean con la distancia geográfica en que se encuentran el uno del otro”. Y, al tener que decidir sobre el régimen de visitas, sigue la Sentencia, “debe también decidir, con anterioridad, sobre la guarda y custodia”.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Trasladada la doctrina constitucional al caso de autos, y en lo que resulta del control externo que corresponde a este Tribunal, no se aprecia la vulneración del derecho fundamental que se denuncia por cuanto la Sentencia de la Audiencia Provincial contiene los elementos y razones de juicio que permiten conocer cuáles han sido los criterios jurídicos que fundamentan la decisión y una fundamentación en Derecho, sin que se aprecie vicio de arbitrariedad, motivación irrazonable o error patente. La Sentencia fundamenta la competencia del tribunal español en la necesidad, lo que conecta con el concepto de foro de necesidad, conocido en Derecho, que vincula con el derecho fundamental de acceso a la jurisdicción (art. 24.1 CE) y con los derechos de la menor y del padre. El criterio de necesidad sustenta la competencia al objeto de garantizar el acceso a la jurisdicción de la pretensión procesal de establecimiento de un régimen de relaciones paternofiliales, evitando un resultado constitucionalmente inadmisible, esto es, que dicha pretensión quede sin una resolución sobre el fondo; lo cual es un hecho cierto en lo atinente al derecho de visitas, sin que su extensión a la guarda y custodia pueda considerarse irrazonable cuando garantiza que el régimen de relaciones paternofiliales que se adopte sea completo, sin hacerlo depender de la suerte que pueda seguir la eficacia en España de la Sentencia belga.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constata que la invocación de la necesidad en el caso responde a las exigencias constitucionales del sistema de competencia judicial internacional, en cuanto asegura una posibilidad razonable de accionar ante la Justicia, sin exigir una diligencia irrazonable o una carga excesiva que llevaría a su rechazo por exorbitante. A mayor abundamiento, hay que subrayar que, a diferencia de lo que en principio presupone el foro de necesidad, en el caso de autos la invocación de la necesidad como criterio de competencia no viene acompañada por la previa constatación de inexistencia de otro foro que atribuya competencia judicial internacional a los tribunales españoles, sobre cuya concurrencia la Audiencia Provincial no se pronuncia. En este sentido, la cuestión se reduce al acierto en la selección, interpretación y aplicación del foro de competencia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Abunda en favor de la adecuación constitucional de la motivación y fundamentación en Derecho controvertida un análisis de la misma en términos de razonabilidad de los resultados desde la perspectiva del interés superior del menor, principio que, como ha recordado este Tribunal, con carácter general proclama la Convención de las Naciones Unidas sobre los derechos del niño de 20 de noviembre de 1989, al disponer que “en todas las medidas concernientes a los niños que tomen las instituciones públicas o privadas de bienestar social, los tribunales, las autoridades administrativas o los órganos legislativos, una consideración primordial a que se atenderá será el interés superior del niño” (art. 3.1). Y que nuestra legislación en materia de menores define como rector e inspirador de todas las actuaciones de los poderes públicos relacionadas con el niño, tanto administrativas como judiciales (SSTC 124/2002, de 20 de mayo, FJ 4, y 47/2009, de febrero, FJ, 3 entre otras). Pues bien, el caso de autos ha desembocado en una situación patológica, escapada de todas las prevenciones legales, en perjuicio de la menor cuyo interés demanda un régimen de relaciones paternofiliales estable, lo que implica que sea eficaz tanto en España como en Bélgica, como marco imprescindible para el desarrollo de los derechos de la menor y de los padres y como medida mínima para prevenir el riesgo de sustracción internacional. En orden a procurar este objetivo es significativo que la resolución de la Audiencia sobre la guarda y custodia incorpore materialmente la motivación de la Sentencia de apelación belga, haciéndola nuestra. Con la misma lógica, al fundamentar la competencia del Tribunal español en la necesidad la Sentencia exterioriza un criterio jurídico ajeno a la cuestión que está en el origen de la incompatibilidad de resoluciones judiciales, esto es, la consideración del traslado de la menor como lícito o ilícito, y los foros de competencia deudores de ese presupuesto.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razonabilidad del resultado se aprecia no sólo desde la óptica del interés superior del menor sino de los derechos del padre ahora recurrente (expresamente en la motivación de la Sentencia “el derecho de padre a mantener relaciones con su hija menor”) pues la situación claudicante también condicionaba severamente sus derechos. De esta suerte, la resolución judicial controvertida, en los términos en que se fundamenta, coadyuva a la garantía y ejercicio de los derechos del recurrente y entronca con el art. 39 CE y con el derecho al respeto a la vida privada y familiar previsto en el art. 8 del Convenio europeo para la protección de los derechos humanos y de las libertades fundamentales. Además, no puede ignorarse que, en cuanto al fondo, el Tribunal español reproduce la motivación y reitera el fallo de la decisión belga sobre la guarda y custodia y acoge íntegramente el régimen de visitas solicitado por el recurrente, de lo que resulta que ha obtenido la solución más favorable posible, a la luz del interés del menor en la actualidad, siendo legal y constitucionalmente inviable, como parece reclamarse, una motivación y fundamentación en Derecho de la competencia judicial internacional en materia de relaciones paternofiliales ajena a este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 expuesto pone de manifiesto que, a diferencia del recurso de amparo que requirió el planteamiento de cuestión prejudicial por ATC 86/2011, de 9 de junio, en el presente recurso este Tribunal no se ha enfrentado a un problema cuya solución haya dependido, en medida alguna, de la interpretación y validez de una norma de Derecho comunitario. Antes al contrario, la duda interpretativa que pretendía suscitar el recurrente es una cuestión de legalidad ordinaria, ajena al ámbito de este proceso constitucional y, por tanto, por definición, innecesaria para poder emitir el fallo, lo cual es condición primera de aplicación del art. 267 del Tratado de funcionamiento de la Unión Europea. Habida cuenta de lo cual, procede desestimar de plano el planteamiento de cuestión prejudicial ante el Tribunal de Justicia de la Unión Europea en los términos propuestos por 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don M. G.</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junio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