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Francisco José Hernando Santiago,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2034-2011, promovido por don Yuneo Lasso Chihad, representado por el Procurador de los Tribunales don Antonio A. Sánchez-Jáuregui Alcaide y asistido por el Abogado don José Fernández Cabado, contra el Auto de la Sección Segunda de la Audiencia Provincial de Huelva de 11 de marzo de 2011 que desestimó el recurso de apelación y confirmó los Autos del Juzgado de Vigilancia Penitenciaria núm. 6 de Andalucía (sede en Huelva) de 13 de octubre y 8 de noviembre de 2010 sobre denegación de la queja del interno contra la medida de registro de la celda que ocupaba el demandante en el centro penitenciario de Huelva. Han intervenido el Abogado el Estado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desde el centro penitenciario de Topas (Salamanca), cuya entrada se registró en este Tribunal el día 7 de abril de 2011, don Yuneo Lasso Chihad, interno en dicho centro penitenciario manifestó su voluntad de interponer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14 de abril de 2011, se concedió a don Yuneo Lasso Chihad un plazo de diez días para la aportación de copias de la resolución que pretende recurrir en amparo y de las que de la misma traen causa, para que acreditara fehacientemente la fecha de notificación de aquélla a su representación procesal y, finalmente, para que compareciera por medio de Procurador con poder al efecto y asistido de Letrado conforme al art. 81.1 de la Ley Orgánica del Tribunal Constitucional (en adelante LOTC), o bien pidiera su designación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1 de junio de 2011, el recurrente solicitó la designación de Abogado y Procurador del turno de oficio y una vez efectuadas, tras la oportuna tramitación, las respectivas designaciones, se formalizó demanda de amparo, que tuvo entrada en el Registro General de este Tribunal el 26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más relevantes de los que trae causa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estando interno en el centro penitenciario de Huelva, formuló una queja manuscrita dirigida al Juzgado de Vigilancia Penitenciaria núm. 6 de Andalucía (sede en Huelva), que firmaron también otros cuatro internos, en la que expone que no se le permite estar presente en los registros de la celda, mostrándose en desacuerdo con la forma en que los mismos se habrían realizado y considerando que se ha vulnerado el art. 23 de la Ley Orgánica general penitenciaria (en adelante LOGP) y el art. 71 del Reglamento penitenciario (en adelante RP). El demandante indica que, pese a que aquella diligencia viene prevista en los arts. 65 y 68.1 RP, no se regula el modo en que debe realizarse, esto es, no se establece si los internos han de estar o no presentes en su desarrollo, si bien teniendo en cuenta el art. 23 LOGP, que dispone que ha de hacerse dentro del respeto a la dignidad, tal precepto no parece compatible con la manera en que en este caso se han realizado los cacheos de las celdas, de forma desordenada, siendo más acorde con la dignidad del preso que se le permita estar presente en el registro de la celda que constituye su morada, lo que no ha sucedido en el presente caso aunque ello no hubiera restado eficacia al cacheo. La parte demandante concluye el escrito expresando que la queja se formula por los cacheos realizados los días 17 y 18 de septiembre de 2010, solicitando estar presente en los que se realicen.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órgano judicial al que se dirige la queja solicita informe al centro penitenciario y el director del mismo remite un escrito fechado el 28 de septiembre de 2010, en el que pone de manifiesto que el interno se encuentra en aplicación de limitaciones regimentales del art. 75.1 RP, en el departamento de aislamiento. Se expone que la presencia del interno en el cacheo de su celda, atendiendo a los arts. 23 LOGP y 68 RP, no es preceptiva y que todas las requisas de celdas se realizan de forma que se dañe lo menos posible a los objetos y enseres personales de los reclusos. En el informe se concluye que a causa del comportamiento del interno se adoptó el acuerdo de limitaciones regimentales, ya que afecta a la seguridad y al buen orden del establecimiento al haber protagonizado una agresión a un funcionario y varios incidentes regimentales graves por los que tuvo que ser aplicado el medio coercitivo de aislamiento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Vigilancia Penitenciaria núm. 6 de Andalucía, son sede en Huelva, desestimó la queja en Auto dictado el 13 de octubre de 2010, argumentando que a los internos se les practican cacheos personales y registros conforme al art. 68 RP, sin que sea necesaria su presencia en la celda “en cuanto no constituye domicilio conforme a lo manifestado por el Tribunal Constitucional (sent. 24/11/1995), y reiteradamente mantenido por este Juzgado en anteriores resoluciones, y sin perjuicio de que a criterio de esta Juzgadora, sería deseable dicha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Yuneo Lasso Chihad interpuso recurso de reforma que fue desestimado en nuevo Auto de 8 de noviembre de 2010, dictado por el referido Juzgado, confirmando la resolución recurrida con base en las mismas consideraciones en ella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parte demandante interpuso recurso de apelación, haciendo constar en su escrito que le es indiferente estar presente en los cacheos, porque eso no haría más que aumentar su indignación al ver cómo se registran las celdas, de manera que lo único que mantiene es la queja por el cacheo efectuado en su día, al considerar que los registros en celdas han de cumplir los mismos requisitos que los registros en domicilios, invocando la STC 22/1984, de 17 de febrero, sobre el ámbito de la privacidad.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Huelva dictó Auto desestimatorio del recurso de apelación el día 11 de marzo de 2011, en el que se razona que, conforme a la jurisprudencia del Tribunal Supremo efectivamente el art. 25.2 CE establece que el condenado a pena de prisión que la estuviere cumpliendo gozará de los derechos fundamentales que no se le hubieren limitado expresamente, y como el derecho a la inviolabilidad del domicilio es una ampliación del derecho a la libertad del individuo, que es precisamente del que carece el condenado a penas privativas de libertad, es claro que alcanza también al correlativo de elegir un espacio de privacidad del que se pueda excluir a otras personas y que es imposible de ejercitar y mantener, salvo escasos momentos excepcionales, en instituciones penitenciarias. Así, aunque el art. 23 LOGP establece que siempre se respete la dignidad de la persona, también se prevé la realización de cacheos, requisas, recuentos y la posibilidad de que los internos no estén en celdas individuales (art. 19 LOGP), lo que excluye patentemente la posibilidad de elección y protección domiciliar. Por consiguiente, determinada la validez y regularidad del registro de la celda, es deseable y conveniente, pero no es exigible, que el interno esté presente, así como una cumplida información por escrito o verbal, al menos cuando el resultado del registro se traduce en el hallazgo de algún material relevante. Sin embargo, no siendo éste el caso que se analiza, sino que se trata de una queja genérica, limitada meramente al desorden consiguiente al registro de ropa y pertenencias, procede desestimar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fundamentación jurídica del escrito de demanda y con invocación del derecho al honor, a la intimidad personal y a la propia imagen (art. 18.1 CE), menciona también el derecho de defensa y con alusión, a lo largo de la demanda, a numerosos preceptos constitucionales, se afirma, de un lado, que la cuestión es un registro practicado en la celda del demandante sin aviso previo, sin su presencia y sin acta del resultado del mismo, aduciéndose, por otra parte, que no es conforme a Derecho la fundamentación del Auto de la Sección Segunda de la Audiencia Provincial de Huelva de 11 de marzo de 2011, relativa a que la presencia del interno en el registro de la celda se considere atendiendo al resultado final de la diligencia y no por la causa o motivo inicial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marzo de 2012, la Sala Segunda del Tribunal Constitucional acordó, de conformidad con lo dispuesto en el art. 11.2 LOTC, conocer del presente recurso de amparo y admitir a trámite la demanda así como, obrando ya en la Sala testimonio de las correspondientes actuaciones jurisdiccionales, dar vista de las mismas, por un plazo común de veinte días, a la parte personada, al Sr. Abogado del Estado y al Ministerio Fiscal, para que dentro de dicho período presentaran las alegaciones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28 de marzo de 2012 se registró la entrada del escrito de alegaciones del Abogado del Estado, interesando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como causa de inadmisibilidad del recurso la falta de justificación de su especial trascendencia constitucional indicando, en este sentido, de un lado, que en las palabras que a ello se dedican en la demanda no cabe percibir razonamiento alguno tendente a fundamentar la singular importancia de este asunto para “la interpretación de la Constitución, para su aplicación o general eficacia y para la determinación del contenido y alcance de los derechos fundamentales”; y, de otra parte, que la demanda no realiza el más mínimo esfuerzo por encuadrar el asunto en alguno de los supuestos de especial trascendencia constitucional descritos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y tras advertir que la demanda de amparo —que contiene además menciones de preceptos constitucionales no susceptibles de amparo o respecto de los cuales ni se acompaña fundamentación alguna, ni se ha cumplido el requisito de la invocación tempestiva, alegándose también otros fundamentos no constitucionales, amén de extravagantes— carece de una exposición clara y fundamentada de hechos, el Abogado del Estado cifra el único punto que estima verdaderamente relevante del amparo en si las requisas llevadas a cabo en la celda del recurrente los días 17 y 18 de septiembre de 2010, cuando estaba ausente de ella, vulneraron los derechos fundamentales a la intimidad (art. 18.1 CE) y a la inviolabilidad de domicilio (art. 18.2 CE), lesiones que, en su caso, deberían imputarse a la Administración penitenciaria (art. 43 LOTC) y no, como se hace en la demanda, a las resoluciones judiciales, a las que —observa el Abogado del Estado— no puede reprocharse ninguna infracción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punto el Abogado del Estado descarta que haya existido infracción del derecho a la inviolabilidad del domicilio (art. 18.2 CE), sencillamente porque la celda que ocupaba el demandante no puede ser considerada como tal. De manera que la verdadera cuestión que suscita el amparo es la relativa al derecho a la intimidad (art. 18.1 CE) reconocido a los internos por la legislación penitenciaria y que, con arreglo al art. 25.2 CE y a esta legislación, tiene un límite evidente que resulta de la “ordenada vida en prisión” [art. 4.2 b) RP], así como de otros preceptos que integran el contexto normativo de que parte la STC 89/2006, de 27 de marzo, en la que se admitió la posibilidad de registros en los que justificadamente puede prescindirse de la presencia del interno; ahora bien, debiendo quedar asimismo fundamentada —en atención a las finalidades perseguidas por el registro o la inevitabilidad para el mismo— la afectación adicional del derecho consistente en la ausencia de información simultánea o posterior, para no incurrir en un exceso en la restricción del derecho fundamental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justamente, nuestro caso, ya que figura en el expediente un informe del director del centro penitenciario en el que puede leerse que al interno —que ha protagonizado “incidentes regimentales graves”, incluida la “agresión a un funcionario”, que determinaron su “aislamiento provisional” como medio coercitivo— se le aplicaron las limitaciones del art. 75.1 RP porque su comportamiento afectaba a “la seguridad y buen orden del establecimiento”, dato relevante éste que, como subraya el Abogado del Estado, se omite en la demanda, como se omitió en los diversos escritos que el interno dirigió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tratándose de reclusos de estas características, concurren razones justificadas de seguridad para las personas de los funcionarios que llevan a cabo el registro o requisa en orden a prescindir de su presencia, por presumirse fundadamente que puede ser causa de conflictos, cuando no de agresiones a funcionarios. Y, por las limitaciones regimentales a que estaba sujeto, el recurrente debía contar con la realización regular de registros en su celda, habiéndose alcanzado, por otra parte, la finalidad informativa destacada en la STC 89/2006, de 27 de marzo, pues al encontrar “revueltas sus pertenencias”, aquél se dio por enterado del registro, haciendo superflua cualquier información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Abogado del Estado concluye reconociendo que la ausencia del interno en los registros que discute se hallaba plenamente justificada por evidentes razones de seguridad. Además, debía contar con la realización periódica de los mismos y asumió el conocimiento de su existencia de modo inmediato, haciendo, pues, innecesaria mayor información mediante copia o extracto del parte previsto en el art. 68.5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Abogacía del Estado solicita de este Tribunal que dicte Sentencia en la que se inadmita el presente recurso de amparo o, subsidiariamente, se desestime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 de abril de 2012 se registró la entrada del escrito de alegaciones del Fiscal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en primer término que, si bien de la formulación de la demanda de amparo se desprende que la misma se dirige contra las resoluciones judiciales recaídas, la lesión del derecho a la intimidad que se denuncia proviene directamente del acto administrativo del registro, no habiendo restablecido los órganos judiciales tal derecho al resolver la correspondiente queja y pone de manifiesto que la demanda de amparo no cumple con el requisito insubsanable de justificar la especial trascendencia constitucional del recurso (art. 49.1 LOTC), ya que en relación con tal extremo no recoge más alegación que la relativa a las razones por las que se considera que las resoluciones judiciales impugnadas lesionan el derecho fundamental invocado. No se expresa, ni siquiera de un modo genérico o por mera referencia, la concurrencia de alguno de los criterios de especial trascendencia fijados, de manera orientativa, en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resulta plenamente aplicable lo declarado en la STC 69/2011, de 16 de mayo, que apreció la concurrencia de la causa de inadmisión por no haber cumplido el recurrente aquel requisito, en cuanto se limita a identificar la especial trascendencia con la propia lesión de los derechos, habiendo transcurrido ya tiempo desde el dictado de la referida STC 155/2009. El presente recurso de amparo, pues, incurre en la causa de inadmisibilidad establecida en el art. 50.1 a) en relación con el art. 49.1 in fine,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supuesto de que no se apreciara esta causa de inadmisibilidad, entra el Ministerio Fiscal en el fondo de la pretensión suscitada en el recurso de amparo, esto es, la lesión del derecho a la intimidad (art. 18.1 CE) causada por el registro de la celda del recurrente, sin aviso previo, sin su presencia y sin acta del resultado. El enjuiciamiento constitucional ha de quedar ceñido a tal cuestión, pues las menciones que en la demanda de amparo se hacen a otros preceptos constitucionales —como también al derecho al honor y a la propia imagen reconocidos en el art. 18.1 CE que, sin embargo, no se acompañan de argumentación alguna y cuya lesión no fue denunciada previamente en la vía judicial— no pueden ser tenidas en cuenta dado que, aparte de que muchos de ellos no son susceptibles de amparo, respecto de los que sí lo son, ni se desarrolla en la demanda cuál sea la lesión que se entiende producida, ni se cumple el requisito de su denuncia previa y/o agotamiento de los medios de impugnación ante los órganos judiciales. Finalmente, la mención que se hace a la posible vulneración del derecho a la inviolabilidad del domicilio (art. 18.2 CE) tiene carácter tangencial, y la exigua argumentación que sobre la misma se ofrece tiene un carácter genérico y aparece subordinada a la alegación nuclear sobre el derecho a la intimidad (art. 18.1 CE), habiéndose de tener en cuenta, en cualquier caso, que como se dijo en la STC 89/2006, de 27 de marzo, la celda que ocupa un interno en un establecimiento penitenciario no es su domicilio en el sentido constitucional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pues, el enjuiciamiento en la lesión del derecho a la intimidad del art. 18.1 CE, cuyo origen sería la ausencia del interno en el registro de la celda, que además encontró sus ropas y efectos personales revueltos y tirados por el suelo, señala inicialmente el Ministerio público que la realización de requisas en las celdas está prevista en la legislación penitenciaria (arts. 23 LOGP y 68.1 RP), debiendo entenderse que las efectuadas en la del interno constituían registros rutinarios (art. 93.1.2 RP), dado que se encontraba en el departamento de aislamiento por incidentes regimentales graves y del mayor riesgo que para el orden y la seguridad del centro y de quienes se encuentran en el mismo, se deriva de las circunstancias objetivas de especial peligrosidad que concurren en los internos que se encuentran en los departamentos especiales de régimen cerrado (arts. 10 LOGP y 90 y 91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por el Ministerio Fiscal se examinan las garantías exigibles en estos supuestos de restricción del derecho a la intimidad (art. 18.1 CE) que conlleva la medida de registro de una celda, teniendo en cuenta que, a diferencia del supuesto analizado en la STC 89/2006, de 27 de marzo, en este caso el juicio de proporcionalidad ha de realizarse respecto de un interno que se hallaba “en régimen coercitivo de aislamiento provisional”. Así, la medida se considera idónea para el cumplimiento de los fines de interés general de mantenimiento de la seguridad y buen orden en los centros penitenciarios, especialmente cuando se trata de centros de régimen cerrado o de departamentos especiales en que se hallan los reclusos en que objetivamente concurren especiales circunstancias de peligrosidad o inadaptación. La necesidad de la medida que, por otra parte, no ha sido cuestionada por el demandante, resulta de la propia asignación del mismo a la modalidad especial dentro del régimen cerrado, que determina la práctica diaria de los registros (art. 93.1.2 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tras destacar que la carencia en la demanda de una adecuada estructuración y una clara exposición de la lesión del derecho dificulta la valoración de la pretensión ejercida, razona el Ministerio Fiscal que cabe inferir que la queja se centra en que el registro no fue proporcionado en la medida en que se realizó sin previo aviso, sin la presencia del interno y sin la notificación del resultado. Por lo que se refiere al primer extremo, indica que, sin perjuicio de que la comunicación previa de la medida hace que la misma devenga ineficaz, en este caso, la situación del demandante hacía factible que conociera que estaba sometido a registros diarios de su celda conforme al reiterado art. 93.1.2 RP. En cuanto a su ausencia, nuevamente las implicaciones de la situación de aislamiento permiten considerar que su presencia durante la realización de la requisa podía hacerla ineficaz o generar riesgo para los funcionarios que la llevaran a cabo, de modo que ha de estimarse justificada. Por último, y respecto de la notificación del resultado del registro, observa que la falta de notificación de un registro en el que no se ha intervenido ningún efecto prohibido ni objeto personal del interno no puede ser relevante para estimar que se ha incurrido en desproporcionalidad, sobre todo cuando aquél, que se encuentra en un departamento de aislamiento, conoce que era aplicable la medida de registros diarios de las celdas.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alegación mantenida en las diversas instancias sobre la que nada se argumenta en la demanda, relativa a la forma desconsiderada percibida por el desorden en que el interno encontró la celda en que el registro se habría realizado, considera el Ministerio público que tampoco cabe apreciar desproporcionalidad, al no concurrir datos de los que se desprenda que el desorden referido por el demandante responde a una finalidad distinta a la que legitima la medida y reveladora de un ataque gratuito al derecho a la intimidad y a la dignidad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concluye el Ministerio Fiscal interesando que se dicte Sentencia que reconozca la causa de inadmisibilidad consistente en la falta de trascendencia constitucional del recurso y de forma subsidiaria,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del recurrente, que tuvo entrada en este Tribunal el día 9 de abril de 2012, se da por reiterado y ratificado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julio de 2013,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Audiencia Provincial de Huelva de 11 de marzo de 2011 que desestimó el recurso de apelación y confirmó los Autos del Juzgado de Vigilancia Penitenciaria núm. 6 de Andalucía (sede en Huelva) de 13 de octubre y 8 de noviembre de 2010 que denegaron la queja contra los registros de la celda que ocupaba el demandante, que se encontraba interno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detalle en los antecedentes de esta resolución, en la demanda de amparo se denuncia, en síntesis, la vulneración del derecho a la intimidad (art. 18.1 CE), con base en que el registro de la celda del recurrente —en concreto, impugna dos de ellos— se efectuó sin aviso previo, sin su presencia y sin que le fuera entregada acta de su resultado. El Abogado del Estado, por su parte, interesa la inadmisión del recurso por falta de justificación de la especial trascendencia constitucional [arts. 49.1 y 50.1 a) de la Ley Orgánica del Tribunal Constitucional, LOTC] y, subsidiariamente, insta su desestimación. También el Ministerio Fiscal repara en igual causa de inadmisibilidad y en cuanto al fondo, solicita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plantear tanto el Abogado del Estado como el Ministerio Fiscal la posible concurrencia de la causa de inadmisión consistente en la falta de justificación de la especial trascendencia constitucional del recurso, inicialmente hemos de determinar si, conforme a lo establecido en el art. 50.1 a) en relación con el art. 49.1, ambos de la Ley Orgánica del Tribunal Constitucional, procede la inadmisión del recurso de amparo por no haber cumplido el demandante con la carga insubsanable que le correspondía de justificar tal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procede subrayar que pese a que la demanda de amparo haya sido anteriormente admitida a trámite, hemos señalado con reiteración que nada obsta para que este Tribunal pueda abordar de nuevo o reconsiderar, incluso de oficio, el análisis de los presupuestos de viabilidad del amparo en fase de Sentencia y, en caso de comprobar su inobservancia, dictar un pronunciamiento de inadmisión del recurso o, en su caso, del motivo del recurso afectado por tal incumplimiento, tal como hemos destacado en la doctrina de este Tribunal (por todas, SSTC 73/2008, de 23 de junio, FJ 2; 99/2009, de 27 de abril, FJ 2 y 105/2011, de 20 de junio, FJ 2), lo que desde luego resulta aplicable, como se ha advertido en recientes resoluciones, al examinar la mentada causa de inadmisión (así, SSTC 69/2011, de 16 de mayo, FJ 2; 143/2011, de 26 de septiembre, FJ 2; 176/2012, de 15 de octubre, FJ 3 y 178/2012, de 15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50.1 a) LOTC señala que la admisión del recurso de amparo exige el cumplimiento de los requisitos fijados en los arts. 41 a 46 y 49 LOTC, estableciendo este último precepto en su apartado primero in fine, de forma inequívoca —“(e)n todo caso”—, que la demanda ha de justificar la especial trascendencia constitucional del recurso, lo que también se ha venido poniendo de relieve por este Tribunal (AATC 188/2008, de 21 de julio, FJ 1; 289/2008 y 290/2008, de 22 de septiembre, FFJJ 2) y también afirmando, en Sentencia dictada por el Pleno, que el demandante “ha de satisfacer necesariamente, de acuerdo con lo dispuesto en el art. 49.1 in fine LOTC, la carga de justificar en la demanda la especial trascendencia constitucional del recurso”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que este Tribunal efectúe sobre la especial trascendencia constitucional de cada recurso, ha de estar siempre precedida de los planteamientos y consideraciones de la parte, plasmadas en su escrito de demanda (SSTC 17/2011, de 28 de febrero, FJ 2; 176/2012, de 15 de octubre, FJ 3 y 2/2013, de 14 de enero, FJ 3) y su incumplimiento es insubsanable, toda vez que los plazos para interponer el recurso de amparo son de caducidad, preclusivos, de manera que no pueden reabrirse para dar cumplimiento al mismo, pues afecta directamente a la determinación de la pretensión deducida en el recurso (ATC 188/2008, de 21 de julio, FJ 3 y SSTC 69/2011, de 16 de mayo, FJ 2 y 176/2012,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al modo en que se ha de dar cumplimiento al requisito objeto de examen, si bien no hay un modelo rígido y preestablecido a tal efecto —lo que, por otra parte, y habida cuenta de las peculiaridades propias de cada recurso de amparo, resultaría sumamente difícil—, han de tenerse presentes las determinaciones que sobre aquel extremo ha realizado este Tribunal en varias resoluciones, y que contribuyen a clarificar la manera en que esta carga procesal puede materializarse.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desde el ATC 188/2008, de 21 de julio, FJ 2, se ha subrayado que, si bien la argumentación sobre la concurrencia de la infracción de un derecho fundamental por la resolución impugnada es un presupuesto ineludible en cualquier demanda de amparo, la satisfacción de la carga de justificar la especial trascendencia constitucional del recurso “es algo distinto a razonar la existencia de la vulneración de un derecho fundamental” (vid., entre otros muchos, los AATC 284/2009, de 17 de diciembre, FJ 2 y 186/2010, de 29 de noviembre, FJ único, así como las SSTC 89/2011, de 6 de junio, FJ 2; 107/2012, de 21 de mayo, FJ 2 y 178/2012, de 15 de octubre, FJ 3). Por consiguiente, la demanda de amparo, en lo que aquí interesa, ha de contener dos líneas argumentales nítidamente diferenciadas: la relativa a la lesión del derecho fundamental cuyo amparo se pretende, y la atinente a la trascendencia constitucional del recurso tendente a su preservación y restablecimiento. Ambas son indispensables, de tal forma que la exposición acerca de la apariencia de la vulneración del derecho fundamental no puede suplir la carencia de un razonamiento explícito sobre la trascendencia constitucional del recurso de amparo (ATC 252/2009, de 19 de octubre, FJ 1 y SSTC 69/2011, de 16 de mayo, FJ 3; 178/2012, de octubre, FJ 3 y 2/2013,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155/2009, de 25 de junio, FJ 2, introdujo sistematizadamente, aun sin intención de exhaustividad, relevantes precisiones sobre esta materia, al identificar —tomando como base los tres criterios enunciados en el art. 50.1 b) LOTC, esto es, “su importancia para la interpretación de la Constitución, para su aplicación o para su general eficacia y para la determinación del contenido y alcance de los derechos fundamentales”— determinados supuestos en que es dable apreciar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pues, al demandante le es reclamable un razonable esfuerzo argumental que enlace las infracciones constitucionales denunciadas con alguno de los elementos que expresa el art. 50.1 b) LOTC, sin que, obvio es, sea suficiente con la sola mención —desprovista de los imprescindibles fundamentos— de que el recurso posee especial trascendencia constitucional. Por el contrario, es necesario que de lo expuesto se desprenda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(por todas, SSTC 69/2011, de 16 de mayo, FJ 3; 143/2011, de 26 de septiembre, FJ 2; 191/2011, de 12 de diciembre, FJ 3; 176/2012, de 15 de octubre, FJ 3 y 2/2013,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hace precisa una última matización, relativa al contexto temporal, como pauta orientativa a los efectos que aquí tratamos y que recoge la citada STC 155/2009, de 25 de junio, publicada el 28 de julio de 2009. Así, este Tribunal ha apreciado el momento de interposición de la demanda de amparo en relación con dicha fecha, para atenuar el rigor del análisis del cumplimento del requisito de justificar la especial trascendencia constitucional —sin, obviamente, eliminarlo o desvirtuarlo— en las demandas interpuestas con anterioridad a la misma (SSTC 69/2011, de 16 de mayo, FJ 3; 143/2011, de 26 de septiembre, FJ 2 y 178/2012, de 15 de octubre, FJ 3). En cambio, el transcurso del tiempo, y la correlativa existencia de una doctrina constitucional consolidada sobre la cuestión, hará decaer la pertinencia de atemperar la valoración del cumplimento de aquella carga justificativa.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precedente a este supuesto, la demanda de amparo, tras exponer escuetamente los antecedentes de hecho e indicar uno de los preceptos constitucionales que se estima vulnerado —ampliado con la mención de varios otros a lo largo de la misma—, introduce un epígrafe referido a lo que se designa como “relevancia constitucional” y “especial trascendencia constitucional”. Sin embargo, los razonamientos que siguen a tal rúbrica se limitan, estrictamente, a dar cuenta de la supuesta lesión padecida, señalando literalmente que “no es conforme a nuestro derecho, ni al derecho internacional vigente en España, que el hecho de estar presente o no estar presente el sr. interno en el registro de la celda, se considere, se justifique, o se estime, por el resultado final del registro; y no por la causa o motivo inicial al mismo, esto es, antes de iniciarse el registro”, como pretende fundamentar el Auto impugnado. Esta afirmación no se acompaña de la existencia de una argumentación tendente a motivar la especial trascendencia constitucional que permite una decisión sobre el fondo del recurso en atención a su importancia para la interpretación, aplicación o general eficacia de la Constitución o para la determinación del contenido y alcance de los derechos fundamentales cuya vulneración se denuncia y no se realiza, en fin, siquiera un mínimo esfuerzo por encuadrar el asunto en alguno de los casos que se especificaron en el fundamento jurídico 2 de la invocada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atendiendo al último de los parámetros referidos en el fundamento jurídico anterior, esto es, el momento de presentación de la demanda de amparo, registrada en este Tribunal con fecha de 26 de septiembre de 2011 —por tanto, más de dos años después de haberse publicado la reiterada STC 155/2009, de 25 de junio—, resulta incuestionable que no es dable moderar el rigor exigible en la valoración del cumplimiento de un requisito insubsanable para la admisión del recurso de amparo que, por las razones expuestas, debe ser inadmitido, al concurrir la causa de inadmisión aducida por el Abogado del Estado y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