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211-2010, promovido por don Carlos Isidro Pinedo Jiménez, representado por la Procuradora de los Tribunales doña María José Bueno Ramírez, y asistido por la Abogada doña Iria Nieto Bello, contra la Sentencia de 10 de junio de 2009, dictada en apelación por la Sección Segunda de la Audiencia Provincial de Huelva y contra el Auto de 3 de noviembre de 2009, de la misma Sección, que desestimó el incidente de nulidad de actuaciones.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Primera Instancia de Madrid el 4 de enero de 2010 y registrado el día 13 de enero de 2010, la Procuradora de los Tribunales doña María José Bueno Ramírez, actuando en nombre y representación de Carlos Isidro Pinedo Jiménez, presentó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Instrucción núm. 2 de Huelva se incoaron las diligencias previas núm. 3053-2005 —luego transformadas en procedimiento abreviado 66-2007—, por los delitos de coacciones y usurpación contra don Carlos Isidro Pinedo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2 de Huelva, el 10 de agosto de 2006, dictó Auto acordando el sobreseimiento y archivo de las actuaciones. Contra dicho Auto se interpuso recurso de apelación por la acusación particular, que fue estimado por Auto de 4 de diciembre de 2006 dictado por la Sección Segunda de la Audiencia Provincial de Huelva, integrada por los mismos Magistrados que dictaron la Sentencia recurrida en amparo. En la fundamentación de dicho Auto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recordar que se han valorado las diligencias de instrucción a los meros efectos de ponderar si existe un mínimo indicio delictivo de entidad suficiente en lo que de ellos parece derivar, concluye que existe al menos la posibilidad de que se haya incurrido en una infracción de coacciones o más precisamente en un delito contra la administración de justicia de los previstos en el artículo 455 del Código Penal. Pone de manifiesto el propio denunciado, Sr. Pinedo Jiménez, que ha presentado demanda para desvirtuar el derecho dominical que dicen ostentar otros sobre el inmueble cuya cerradura ha cambiado; constando que existe un tercero titular registral a quien favorece la presunción del artículo 38 de la Ley Hipotecaria, y que la medida cautelar pedida por el Sr. Pinedo en el pleito civil entablado no alcanza sino a la prohibición de disponer pero no le convierte en poseedor del piso sobre el que se adopta tal limitada cautela, los actos a que refieren los recurrentes podrían ser considerados un modo de forzar la realización de lo que se entiende es un derecho propio, o merecer otra valoración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Penal núm. 3 de Huelva, dictó el 1 de diciembre de 2008 Sentencia por la que absolvía al demandante de los delitos de los que era acusado. En la misma se contenía el siguiente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“Único.-Se da como probado y así se declara que el acusado, Carlos Isidro Pinedo Jiménez, mayor de edad, sin antecedentes penales, en nombre y representación de Agrocosta onubense SCA vendió por escritura pública de fecha 3 de julio de 1998 a la entidad Inforel System Electric S.A., (posteriormente Inforel Sistema de Áridos S.A.), el apartamento-oficina sito en la planta número trece, letra 13 de la Plaza del Punto nº 1 de Huelva; vendiéndolo posteriormente esta última entidad a García&amp;García MENA, S.A. por escritura de fecha 6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y su familia eran socios de la entidad Inforel Sistema de áridos, de la que es socio y apoderado Antonio García Lorente, siendo administrador de la entidad García &amp; García MENA, S.A. Juan García Lorente.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septiembre de 2005 el acusado cambió la cerradura del citado inmueble, cambiándola posteriormente en abril de 2007 Carlos Orozco Azcorta, que en esas fechas ocupaba el inmueble el consentimiento del acusado.”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fundamentación jurídica se añadía: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[E]n el presente caso se mantienen dos versiones del todo contradictorias, de un lado la de los propietarios actuales del inmueble, la Cía. García &amp; García Mena, S.A. que a su vez adquirió el inmueble en fecha 2005 de la entidad Inforel Sistemas de Áridos, S.A. (antes Inforel System Electric, S.A.), quien previamente la había adquirido de la entidad Agrocosta onubense en 1998 que la compró de la familia del acusado afirma que el acusado de forma violenta y careciendo de derecho alguno ha cambiado en varias ocasiones la cerradura del piso sito en planta nº 13 letra B de la Plaza del Punto. La versión de la Acusación Particular viene corroborada por las documentales entre las que destacan sendas escrituras públicas de compraventa (folios 24 y ss. 118 y ss.) así como pago de recibos de la comunidad de propietarios referidos a Julio de 2005 a Mayo de 2006, (folios 160 y ss.), y sentencias referidas al procedimiento civil seguido en el Juzgado de Primera Instancia nº 3 de Málaga (Juicio ordinario 1372/05) cuya firmeza no se acredita, así como las testificales de Antonio y Juan García Lorente, y Antonio González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versión, el acusado sostiene que tras la venta del piso por la empresa Agrocosta onubense, de la que era socio, a la empresa Inforel, mantuvo la posesión del inmueble con consentimiento de los compradores, de forma pacífica e ininterrumpida hasta Junio de 2005, fecha en la que fue perturbado violentamente de su derecho posesorio por cambio de la cerradura del citado apartamento por parte del propietario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versión del acusado se corrobora por la documental obrante en autos referida al abono del Impuesto de Bienes Muebles y tasa de tratamiento de residuos urbanos correspondiendo a los años 1996 a 2006, abono de recibos de comunidad al año 2007, acreditativa de la vigencia de un seguro del hogar de fecha noviembre de 2004 (folios 185 y ss. y 362 y ss.) así como las testificales de Cándido Ruiz Carrascal, María Dolores Núñez Zárraga (esposa del acusado), Carlos Orozco Azcorta y Alfonso Orozco Muñoz.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existe prueba alguna de que la propietaria llegase a tomar posesión del inmueble constatando que el acusado ejerció un derecho posesorio del que no quede acreditado que fuera perturbado hasta Junio de 2005, fecha de las primeras denuncias, no pudiéndose obviar que el acusado formuló denuncia contra Inforel, S.A. por hechos idénticos a los que son objeto del presente enjuiciamiento por lo que existiendo una colisión entre dos derechos (el de propiedad y el de posesión ambos con amparo legal en los art. 348 y ss. y 430 y ss. del C. Civil), constatándose la complejidad de relaciones jurídicas existentes entre las partes, así como el hecho de que el Derecho Penal es un derecho de mínimos, y surgiendo en esta juzgadora una duda razonable respecto de la existencia de un derecho posesorio por parte del acusado inicialmente consentido por la propietaria Inforel Sistema de Áridos S.A., que trasladaría la controversia al ámbito de la jurisdicción civil donde consta la existencia de procedimientos referidos al citado inmueble, debe dicha duda interpretarse en virtud del principio “in dubio pro reo” a favor del acusado procediendo un pronunciamiento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Sentencia interpuso recurso de apelación la acusación particular, al que se adhirió el Ministerio Fiscal. Se alegaba indebida valoración de la prueba. Por Sentencia dictada el 10 de junio de 2009 por la Sección Segunda de la Audiencia Provincial de Huelva, se estimó el recurso de apelación, se revocó la Sentencia de instancia y se condenó al demandante como autor de un delito de usurpación a la pena de tres meses de multa con una cuota diaria de doce euros, con cuarenta y cinco días de privación de libertad para caso de impago. Igualmente a que indemnice a las compañías Inforel, Sistema de Áridos, S.A., y García &amp; García Mena, S.A., en la suma de ciento ochenta y nueve euros más sus correspondientes intereses, así como al pago de las costas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Dicha Sentencia dio por reproducidos los hechos declarados probados en la resolución recurrida, indicando en el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pudiera compartir los argumentos de la resolución combatida puesto que se han producido entre las partes de este juicio todo un cúmulo de desencuentros y litigios que han desembocado en los correspondientes procedimientos judiciales, así como también la composición de las mercantiles concernidas se puede prestar a la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existe un elemento que no podemos pasar por alto como es la reiteración de las conductas que ponen en compromiso el derecho de propiedad de las mercantiles dueñas de la oficina, amparado por el Código Civil y la Ley Hipotecaria y que usualmente, y salvo circunstancias que han de ser acreditadas, se encuentra acompañado por el derecho de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sentencia no haga referencia más que a un acto de cambio de cerradura por parte de Carlos Isidro en septiembre de 2005 y otro muy posterior por parte de Carlos Orozco, la realidad de la prueba documental aportada muestra que los incidentes de cambio de cerradura fueron reiterados.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estar en la alzada a lo consignado en los hechos probados de la sentencia de primera grado, que dimos por reproducidos, y en tal sentido únicamente se puede condenar a Carlos Isidro Pinedo por el único hecho que a él le concierne de los contenidos en la resultancia fáctica, puesto que el cambio de cerradura por Carlos Orozco pudo haberse realizado por éste con consentimiento del acusado, pero ni se ha dirigido la acusación contra Carlos Orozco ni siquiera los hechos probados dejan claro quien cambió la cerradura en 2007, si Orozco o Pinedo, o el primero con el consentimiento del segundo, o si tal consentimiento sólo abarcaba la ocupación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existía un conflicto propiedad-posesión prolongado en el tiempo, en el que la protección a la primera debe prevalecer y desplegar sus efectos incluso en el ámbito penal, especialmente tras el requerimiento al acusado para desalojar la oficina, que la propia sentencia recoge se produjeron en junio de 2005 y que en cualquier caso impediría hablar de posesión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Sala que el tipo penal en el que mejor queda subsumida la conducta del acusado es el de usurpación del art. 245.2 del Código Penal. Frente a la tipificación de los hechos como delito de coacciones o incluso como dos delitos de usurpación y coacciones en concurso, nos inclinamos por considerar que el ánimo del acusado no fue tanto de forzar a otras personas o entidades a asumir una situación impuesta, como el acceder al uso del local. La figura de usurpación entendemos que resulta más específica que la de coacciones, más adecuada al elemento subjetivo del injusto y teleológico de la acción desplegada.”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Sentencia el demandante interpuso incidente de nulidad por vulneración del derecho a un proceso con todas las garantías: habían dictado Sentencia los mismos Magistrados que suscribieron el Auto de 4 de diciembre de 2006, por el que se acordaba revocar la decisión de sobreseimiento y archivo de las actuaciones; así como se había dictado Sentencia condenatoria, revocando la anterior absolutoria, sin celebrar vista pública, con quiebra de los principios de inmediación, no dando oportunidad al acusado de exponer lo que en su descargo estimase conveniente. Por Auto de 3 de noviembre de 2009 se desestimó el incidente de nulidad de actuaciones. Dicho Auto fue notificado al Procurador del demandante el 17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impugna la Sentencia de 10 de junio de 2009 y el Auto de 3 de noviembre de 2009 dictados por la Sección Segunda de la Audiencia Provincial de Huelva con base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Aduce, en primer lugar, que dichas resoluciones infringen el derecho a un proceso público con todas las garantías, así como el derecho al Juez ordinario predeterminado por la ley y a un Juez imparcial. Sustenta la vulneración en el hecho de que los Magistrados de la Sección Segunda de la Audiencia Provincial de Huelva no se abstuvieran, conforme a lo dispuesto en el art. 219.11 de la Ley Orgánica del Poder Judicial (LOPJ), pese a haber resuelto anteriormente recursos interpuestos contra decisiones adoptadas por el Juez de Instrucción. Se afirma que no fue posible proponer la recusación por la falta de notificación a la representación procesal del demandante de la diligencia de reparto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que el derecho al Juez imparcial se garantiza con la separación entre la fase de instrucción y de enjuiciamiento y fallo. Con la revocación del Auto acordando el sobreseimiento y archivo de las actuaciones, la Sección sentenciadora sería plenamente conocedora de la previa fase de instrucción y de los hechos que se imputaban al demandante, vulnerando la imparcialidad de los jueces en su vertiente objetiva, y con ello el derecho a la tutela judicial efectiva proclamada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considera vulnerado el derecho a un proceso con todas las garantías por la Sección Segunda de la Audiencia Provincial de Huelva al haber dictado una Sentencia condenatoria sin la preceptiva celebración de vista pública. Con cita de la STC 167/2002, de 13 de septiembre, se afirma que cuando el Tribunal de apelación ha de conocer tanto de cuestiones de hecho como de derecho, así como cuando ha de estudiar en su conjunto la culpabilidad o inocencia del acusado, el Tribunal Europeo de Derechos Humanos ha entendido que la apelación no se puede resolver sin un examen directo y personal del acusado. El derecho a un proceso con todas las garantías se habría visto vulnerado por la revisión y corrección de la valoración de la prueba por la Audiencia Provincial, sin respetar los principios de inmediación y contradicción en los que se hubiera debido basar para el dictado de la resolución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2012 la Sala Primera de este Tribunal acuerda conocer del presente recurso de amparo, admitiéndolo a trámite. En aplicación de lo dispuesto en el art. 51 de la Ley Orgánica del Tribunal Constitucional (LOTC), habiéndose recibido testimonio de las actuaciones del Juzgado de lo Penal núm. 3 de Huelva y de la Sección Segunda de la Audiencia Provincial de Huelva, se dirige atenta comunicación al Juzgado de lo Penal núm. 3 de Huelva a fin de emplazar a las demás partes del procedimiento, para que en el plazo de diez días puedan comparecer en el recurso de amparo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18 de septiembre de 2012, se tuvo por personado y parte a la Procuradora doña Verónica García Simal, en representación de las sociedades Inforel Sistema de Áridos, S.A., y García &amp; García Mesa, S.A. Se acuerda, a tenor de lo dispuesto en el art. 52 LOTC, dar vista de todas las actuaciones del presente recurso de amparo, en la Secretaría de la Sala, por un plazo común de veinte días, al Ministerio Fiscal y a las partes personadas,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día 15 de octubre de 2012, interesando el otorgamiento del amparo, y que se declare vulnerado el derecho al Juez imparcial y a un proceso público con todas las garantías, anulando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y a las alegaciones del recurrente, el Ministerio Fiscal trascribe los fundamentos jurídicos 3 y 4 respectivamente de las SSTC 38/2003 y 52/2001. A continuación reproduce el fundamento de derecho segundo del Auto de 4 de diciembre de 2006, para indicar que en el Auto desestimando el incidente de nulidad de actuaciones la Audiencia Provincial se abstuvo de analizarlo. En él se tenían por acreditados los hechos imputados al demandante, su realización por el mismo, así como su tipificación delictiva; aunque luego variara la calificación en la Sentencia, pero sin cambiar la razón de la decisión: la prevalencia del derecho a la propiedad. Por ello considera que la Sección tuvo contacto con el material probatorio y formó prejuicio tanto sobre la participación del acusado en los hechos como sobre su culpabilidad. Añade que cuando se dictó el Auto acordando el sobreseimiento la investigación estaba conclusa. Indica que la argumentación expuesta en el Auto de inadmisión del incidente de nulidad de actuaciones no tiene en cuenta las circunstancias del caso para decidir si está comprometida la imparcialidad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motivo de amparo, el Ministerio Fiscal trascribe el fundamento jurídico 4 de la STC 142/2011 y el fundamento jurídico 2 de la STC 144/2012 e indica que la Sentencia de apelación acogió la tesis de la propietaria del inmueble: que el acusado de forma violenta y careciendo de derecho había cambiado en diversas ocasiones la cerradura del inmueble; tesis esta no acogida por las Sentencia de instancia, que aducía un derecho posesorio sobre el inmueble por el demandante avalado por abundante prueba documental y diversas testificales. Considera que la Audiencia Provincial mantuvo el relato de hechos probados, pretendiendo justificar su dispar criterio en una controversia meramente jurídica, de distinta calificación de lo tenido por acreditado. En realidad, pese a que se atuvo formalmente al relato de hechos probados, acogió la tesis de la acusación particular y descartó la defensiva que a la Magistrada de lo penal le había parecido razonable. Consideró además que había habido una reiteración de conducta que en la Sentencia de instancia no se había tenido por acreditada; descartó también la posesión pacífica del inmueble. Este extremo lo sustentó en un requerimiento acaecido en el mes de junio de 2005, que se afirmaba estaba recogido en la Sentencia de instancia, pese a que en modo alguno figuraba en la misma. En ella, por el contrario, se hacía constar que el recurrente ejerció un derecho posesorio hasta junio de 2005, fecha de las primeras denuncias del demandante contra Inforel, por el cambio de cerradura, anteriores al cambio por el que el demandante resultó condenado, acaecido en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 Audiencia Provincial habría valorado de forma distinta las pruebas —entre ella las de índole personal— otorgando mayor credibilidad a las tesis acusatorias y descartando, por el contrario, toda las pruebas defensivas: tanto la versión del acusado, como la de los testigos que comparecieron a su instancia y la documental por él aportada, sustentando la condena en hechos no acreditados. Todo ello implicaría la vulneración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añade que la Audiencia Provincial valoró la intención o ánimo del acusado, al que no dio la oportunidad de ser oído, lesionando por ello también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alegaciones mediante escrito registrado el día 23 de octubre de 2012 en el que reitera en lo esencial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las sociedades Inforel Sistema de Áridos, S.A., y García &amp; García Mesa, S.A., formuló alegaciones, mediante escrito registrado el 24 de octubre de 2012, solicitando la desestimación de la demanda de amparo. Afirma que no concurren las vulneraciones denunciadas por el demandante. Hace suyos los argumentos del Auto de 3 de noviembre de 2009, dictado por la Sección Segunda de la Audiencia Provincial de Huelva, indicando que no concurría la causa de abstención del art. 219.11 LOPJ, al no haberse prejuzgado el resultado final del procedimiento por el Auto que revocó el sobreseimiento. Afirma que se respetaron por dicha Sección los hechos declarados probados y que no hubo una nueva valoración de prueba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 la Sala Primera de este Tribunal de 6 de noviembre de 2012, se requirió atentamente a la Sección Segunda de la Audiencia Provincial de Huelva para que en el plazo de diez días remitiera testimonio del rollo de apelación núm. 144-2009 dimanante del procedimiento abreviado núm. 254-2008 del Juzgado de lo Penal núm. 3 de Huelva; al no figurar en los testimonios remitidos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Sala Primera de este Tribunal de 21 de noviembre de 2012, se tuvo por recibido el testimonio, dándose vista a las partes personadas y al Ministerio Fiscal por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y la representación procesal del demandante mantuvieron las alegaciones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septiembre de 2013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10 de junio de 2009, dictada en apelación por la Sección Segunda de la Audiencia Provincial de Huelva, por la que se condenó al demandante, y el Auto de 3 de noviembre de 2009, desestimando el incidente de nulidad de actuaciones, dictado por la misma Sección, han vulnerado los derechos a un Juez imparcial (art. 24.2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y del Ministerio Fiscal, tal y como se ha expuesto en los antecedentes, se habría vulnerado el derecho a un Juez imparcial, al haber enjuiciado la causa los mismos Magistrados que revocaron el Auto de sobreseimiento. Se habría vulnerado igualmente el derecho a un proceso con todas las garantías y el derecho de defensa, al haberse sustentado la Sentencia condenatoria en una nueva valoración de prueba personal sin inmediación y sin oír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de las sociedades Inforel Sistema de Áridos, S.A., y García &amp; García Mesa, S.A., descarta que las resoluciones impugnadas hayan vulnerado los derechos invocados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atribuye a la Sentencia dictada por la Sección Segunda de la Audiencia Provincial de Huelva, la vulneración del derecho a un Juez imparcial. Tras unos iniciales pronunciamientos en los que situamos la garantía de la imparcialidad dentro del contenido al derecho al Juez predeterminado por la ley (SSTC 47/1982, de 12 de julio, FJ 2 y 44/1985, de 22 de marzo, FJ 4), a partir de la STC 113/1987 de 3 julio, FJ 2, indicamos que el derecho al Juez imparcial debe “entenderse comprendido no tanto en el apartado 1 cuanto en el enunciado del apartado 2 del art. 24 que consagra el derecho a un proceso público ‘con todas las garantías’, entre las que hay que incluir, sin duda, la que concierne a la imparcialidad del Juez o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realizar, a los efectos de la resolución de la cuestión suscitada, una síntesis expositiva de los aspectos básicos de nuestra doctrina sobre el derecho a un Juez imparcial cuyas líneas fundamentales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del Juez puede analizarse desde una doble vertiente. Una “imparcialidad subjetiva, que garantiza que el Juez no ha mantenido relaciones indebidas con las partes, en la que se integran todas las dudas que deriven de las relaciones del Juez con aquéllas, y una imparcialidad objetiva, es decir, referida al objeto del proceso, por la que se asegura que el Juez se acerca al thema decidendi sin haber tomado postura en relación con él” (por todas STC 47/2011, de 12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garantía de la imparcialidad objetiva “pretende evitar toda mediatización, en el ámbito penal, del enjuiciamiento a realizar en la instancia o a revisar en vía de recurso” (STC 313/2005, de 12 de diciembre, FJ 2). Esto es “que influya en el juicio o en la resolución del recurso la convicción previa que un Juez se haya formado sobre el fondo del asunto al decidir en anterior instancia o, incluso, al realizar actos de investigación como instructor” (STC 11/2000, de 17 de enero, FJ 4). Tales convicciones previas no merecen, en sí mismas, tacha alguna, pero “la sola posibilidad de que se proyecten en el ulterior enjuiciamiento, o en el recurso que proceda, pone en riesgo el derecho del justiciable a obtener en uno u otro —en el juicio o en el recurso— una justicia imparcial. La Ley, ante tal riesgo, no impone al Juez abandonar o superar las convicciones a las que así legítimamente llegó, ni exige tampoco a los justiciables confiar en que esa superación se alcance. Más bien permite, mediante la abstención de aquél o la recusación por éstos, que quede apartado del juicio del recurso el Juez que ya se ha formado una convicción sobre la culpabilidad del acusado o que puede haberla adquirido en el curso de instrucción.” (SSTC 157/1993, de 6 de mayo, FJ 3 y 11/2000, FJ 4, que cita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basta que tales dudas sobre su imparcialidad surjan en la mente de la parte, sino que es preciso determinar caso a caso si las mismas alcanzan una consistencia tal que permitan afirmar que se hallan objetiva y legítimamente justificadas (por todas, STC 47/2011, de 12 de abril, FJ 9). Se hace necesario examinar las circunstancias del caso, en tanto que “la imparcialidad del Juez no puede examinarse in abstracto, sino que hay que determinar, caso por caso, si la asunción simultánea de determinadas funciones instructoras y juzgadoras puede llegar a comprometer la imparcialidad objetiva del juzgador.” (STC 60/1995, de 16 de marzo, FJ 4, que acomoda la interpretación del mencionado derecho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Tales dudas resultan de “la incompatibilidad entre las funciones de resolver, o dictar el fallo, con las previas de acusación o de auxilio a la acusación” (STC 11/2000, FJ 4, y las que en ella se citan), o del presupuesto por el que son “constitucionalmente incompatibles las facultades de instrucción y las de enjuiciamiento” (STC 11/2000, FJ 4, y las que en ella se citan). Ahora bien, “no se ha considerado que pierde la imparcialidad objetiva el Juez que decide la admisión de una denuncia o una querella” (STC 11/2000, FJ 4), pues el Juzgado “tiene en los comienzos del procedimiento muy escaso margen de decisión: está obligado por la ley a incoar procedimiento cuando recibe una denuncia, salvo excepciones … Sólo después, conforme avanza la instrucción, se amplían las facultades judiciales: cuando se ha iniciado la comprobación del hecho denunciado, practicándose las diligencias iniciales, puede el Juzgado acordar el sobreseimiento de la causa por los motivos previstos por los arts. 637 y 641 de la Ley (SSTC 34/1983, fundamento jurídico 1 y 2, y 40/1988, fundamento jurídico 3).” (STC 41/1998, de 24 de febrero, FJ 17). Tampoco “consideramos lesionado al derecho a la imparcialidad del juez en el caso de revocación del sobreseimiento acordado por una Sala unipersonal cuando el enjuiciamiento correspondió a una Sala de tres Magistrados” (STC 47/1998, de 2 de marzo, FJ 5). Igualmente no quiebra la imparcialidad cuando el Juez instructor de la causa se limita únicamente a formar parte de la Sala que dicta una providencia de mera ordenación del procedimiento que nada decide, ni en lo concerniente a los aspectos materiales o de fondo del citado recurso de apelación (STC 238/1991, de 12 de diciembre, FJ 3), o cuando únicamente se “ejerció un control de estricta legalidad sobre la regularidad procedimental de la actuación investigadora, acordando su corrección, por razón de la palmaria contradicción de la resolución apelada con la anterior resolución firme del Juzgado ordenando la apertura de diligencias previas” (STC 38/2003,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 la doctrina constitucional procede ahora verificar, atendidas las circunstancias del caso, si se ha vulnerado el derecho del demandante a un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analizar si las dudas, planteadas por el demandante y apoyadas por el Ministerio Fiscal sobre la imparcialidad de los tres Magistrados que resolvieron el recurso de apelación, están objetivamente justificadas, esto es, si la decisión de haber revocado el archivo, ha supuesto un prejuicio o una toma de partido que autorice a sospechar sobre la imparcialidad de dichos Magistrados al resolver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debemos tomar en consideración la coincidencia de los tres Magistrados que dictaron la Sentencia condenatoria y de los que, en la fase de instrucción, dictaron el Auto revocando el archivo del procedimiento. También la circunstancia de que cuando se dicta dicha resolución, la instrucción del procedimiento prácticamente había concluido. Tan es así, que la única diligencia que se practicó fue la declaración del demandante y la unión a la causa de una Sentencia, no firme, por la que se desestimaba una demanda civil. A ello debemos añadir que el principal argumento por el que se impugnó la resolución de archivo fue el error en la apreciación de las diligencias de investigación, al considerar que la acusación había acreditado la titularidad dominical en virtud de documentos públicos y que el ahora demandante de amparo, no había aportado título que justificara su afirmada posesión. El Auto de la Audiencia Provincial, incorporó sin embargo un argumento —que las partes no contemplaron— esencial para revocar la decisión de sobreseimiento, al indicar que al titular registral le favorece la presunción del artículo 38 de la Ley hipotecaria. Dicho argumento decisorio —no aportado por los recurrentes— fue nuevamente utilizado en la Sentencia, como acertadamente puso de manifiesto el Ministerio Fiscal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no se limitó pues a efectuar un control meramente formal o abstracto, abordando en exclusiva la regularidad procedimental de la resolución impugnada, sino que, reconociendo haber valorado las diligencias de instrucción, tomó posición sobre el hecho nuclear del delito objeto de acusación: si el demandante era legítimo poseedor del inmueble en litigio. Así, además de referirse a la mencionada presunción legal, desestimó las razones que frente a dicha cuestión esencial expuso el ahora demandante de amparo entonces denunciado: la interposición de una demanda —junto con una solicitud de medida cautelar—, para desvirtuar la titularidad dominical. Por último, la resolución aventuró eventuales calificaciones de los hechos, indicando que podrían ser constitutivos de una infracción de coacciones, o —más precisamente— de un delito contra la administración de justicia, o bien merecer otra valoración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revocó el Auto de archivo con la instrucción prácticamente culminada y la intervención de los tres Magistrados que luego conocieron del recurso y dictaron la Sentencia condenatoria. Se valoraron las diligencias de instrucción, se introdujeron argumentos no aportados por los recurrentes, se tomó partido sobre el elemento nuclear para la existencia del delito —la existencia o no de una legítima posesión del demandante—, así como sobre una eventual calificación delictiva. Todo ello permite afirmar, por el momento, el modo, las razones y el alcance por los que se adoptó dicha decisión revocatoria, que los recelos sobre la existencia de una idea preconcebida en los Magistrados que dictaron el pronunciamiento de condena estaban objetivamente justificados. No constituye obstáculo, en este caso, que el demandante no recusara a los Magistrados, al haber omitido la Sala toda notificación a la parte sobre su composición, como era su deber (STC 180/1991, de 23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apreciada la denunciada vulneración del derecho a un proceso con todas las garantías en su vertiente de derecho a un Juez imparcial (art. 24.2 CE), y teniendo en cuenta el necesario efecto de retroacción de las actuaciones judiciales que exige su restablecimiento, debe detenerse aquí nuestro enjuiciamiento, sin que, por consiguiente, proceda entrar a analizar la aducida lesión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amparo en los términos indicados exige, de acuerdo con lo dispuesto en el art. 55.1 a) de la Ley Orgánica del Tribunal Constitucional, la declaración de nulidad de la Sentencia de 10 de junio de 2009, dictada en el rollo de apelación núm. 144-2009, por la Sección Segunda de la Audiencia Provincial de Huelva y del Auto de 3 de noviembre de 2009 de la misma Sección, debiendo retrotraerse las actuaciones al momento procesal inmediatamente anterior al de la deliberación de la Sentencia con el fin exclusivo de que se dicte otra nueva por un Tribunal cuyos integrantes no tengan comprometida su imparcialidad.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Carlos Isidro Pinedo Jiménez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recurrente en amparo a un proceso con todas las garantías, en su vertiente de derecho al Juez imparcial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Sentencia de 10 de junio de 2009, dictada en apelación por la Sección Segunda de la Audiencia Provincial de Huelva y del Auto de 3 de noviembre de 2009, de la misma Sección, recaída en el rollo de apelación núm. 144-2009, debiendo retrotraerse las actuaciones al momento inmediatamente anterior al de la deliberación de la Sentencia, con el fin exclusivo de que se dicte otra nueva por un Tribunal en cuya composición se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al que se adhiere el Magistrado don Juan Antonio Xiol Ríos, respecto a la Sentencia dictada por la Sala Primera en el recurso de amparo núm. 211-2010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con pleno respeto a la opinión de mis colegas, por medio de este Voto particular quiero hacer constar cómo mi apoyo a esta Sentencia se ha producido tras expresar mi preocupación por las consecuencias a que lleva su opción, a mi modo de ver un tanto rígida, por otorgar amparo a uno de los motivos del recurso marginando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trataba en efecto de subsanar posibles vulneraciones expresadas en un recurso mixto: la del derecho al Juez imparcial —lesión cuya existencia comparto plenamente— y las otras dos planteadas por el demandante, relativas al derecho a un proceso con todas las garantías, que también entiendo fundadas.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 punto de vista puramente formal parece lógica la prioridad concedida a subsanar la vulneración del derecho al Juez imparcial, pero genera en la práctica una paradoja: si el recurrente hubiera invocado exclusivamente la vulneración de su derecho a un proceso con todas las garantías hubiera obtenido como efecto de esta resolución la anulación de la Sentencia impugnada; de estimarse la no existencia de otras pruebas que pudieran sustentar la condena que las valoradas sin la inmediación exigida, podría quedar absuelto y liberado de la multa que se le había impuesto. Al haber invocado también la falta de imparcialidad del Juez, a la que se ha atribuido prioridad, ha visto empeorada su situación por una obligada retroacción que teóricamente posibilita una segunda sentencia condenatoria.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omisión del examen de las restantes quejas puede producir el efecto perverso de desincentivar que un demandante denuncie la vulneración de un derecho fundamental —en este caso, el derecho a un Juez imparcial— a fin de evitar que se le abra la negativa posibilidad de una segunda condena. Cierto es que dicha consecuencia aparece en este caso debilitada —si no impedida— al haber delimitado nuestra Sentencia el alcance de la retroacción al momento inmediatamente anterior a la deliberación de la Sentencia recurrida; no se evita sin embargo un “efecto retardatorio” para la efectiva tutela de sus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interpretación más favorable a la efectividad de los derechos fundamentales aconsejaba, en mi opinión, no restringir el objeto de la Sentencia al examen de la vulneración del derecho a un Juez imparcial; dicha limitación, como se ha señalado, acaba haciendo de peor condición a quien además de haber padecido la vulneración del derecho a un proceso con todas las garantías —con afectación del derecho a la presunción de inocencia—, hubiera sufrido como lesión añadida la del derecho al Juez imparcial. En vez de obtener una reparación inmediata en sede de amparo, ve retrotraída la causa a la jurisdicción ordinaria y abierta la posibilidad de una reiteración de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posición sostenida en el presente Voto concurrente no es desconocida en la doctrina de este Tribunal. La ha aplicado en el ámbito de los amparos mixtos (entre otras STC 5/2008, de 21 de enero, FJ 3) y también la ha sostenido en la STC 307/2005, de 12 de diciembre, en un asunto que guardaba clara semejanza con el planteamiento del presente recurso de amparo. Se trataba en este caso de condena en segunda instancia en que se invocaba, junto con la del derecho a un proceso con todas las garantías, la vulneración del principio de contradicción por haberse resuelto el recurso de apelación sin intervención del acusado, vulnerándose también el derecho al juez imparcial en la tramitación del recurso de apelación. En dicha Sentencia se estimó que se había desconocido “la exigencia de que un órgano judicial independiente e imparcial haya dispuesto de la posibilidad de tomar en consideración los argumentos de ambas partes con carácter previo a la formación de su criterio” y que no se había “garantizado la igualdad de armas evitando situaciones de desequilibrio entre las partes” (FJ 3). Pese a ello se apuntó que “nuestro análisis no puede detenerse en este punto, anulando la resolución recurrida y retrotrayendo las actuaciones para que se dicte una nueva Sentencia respetuosa con el derecho fundamental cuya vulneración acaba de declararse”, ya que “como destacan tanto el recurrente —motivos primero y tercero del recurso— como el Ministerio Fiscal, en el presente caso tal vulneración del principio de audiencia y contradicción se produce en la tramitación de un recurso de apelación contra una Sentencia absolutoria y da lugar a que se haya dictado una Sentencia penal condenatoria en segunda instancia e inaudita parte, sobre la base de una nueva valoración de pruebas personales practicadas ante el Juez de lo Penal en las que se fundaba el fallo absolutorio de instancia.” (FJ 4). De este modo la Sentencia optaba por reconocer prioritariamente que se había vulnerado el derecho a un proceso con todas las garantías y el derecho a la presunción de inocencia (FFJJ 4 y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este Voto particular explicitando mis reservas, que no me han impedido suscribir la Sentencia, pues su resultado no me parece absolutamente falto de fundamento.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septiembre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