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26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2703-2011, interpuesto por el Parlamento de Canarias contra la disposición transitoria octava (reserva para inversiones en Canarias), y las disposiciones finales vigésima séptima (adaptación de la Ley reguladora del impuesto general indirecto canario a los cambios realizados en la Ley 37/1992, de 28 de diciembre, del impuesto sobre el valor añadido por la Ley 39/2010, de 22 de diciembre, de presupuestos generales del Estado para el año 2011), vigésima octava (adaptación de la Ley reguladora del impuesto general indirecto canario a los cambios realizados en la Ley 37/1992, de 28 de diciembre, del impuesto sobre el valor añadido, por la Ley 2/2010, de 1 de marzo, por la que se transponen determinadas Directivas en el ámbito de la imposición indirecta y se modifica la Ley del impuesto sobre la renta de no residentes para adaptarla a la normativa comunitaria) y trigésima (concepto de rehabilitación a efectos de la materialización de la reserva para inversiones en Canarias), de la Ley 2/2011, de 4 de marzo, de economía sostenible. Han intervenido y formulado alegaciones el Senado, el Abogado del Estado y el Congreso de los Diputados.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mayo de 2011 tuvo entrada en el Registro General de este Tribunal Constitucional un escrito del Letrado del Parlamento de Canarias, en la representación que legalmente ostenta, por el que interpone un recurso de inconstitucionalidad contra la disposición transitoria octava (reserva para inversiones en Canarias) así como contra las disposiciones finales vigésima séptima (adaptación de la Ley reguladora del impuesto general indirecto canario a los cambios realizados en la Ley 37/1992, de 28 de diciembre, del impuesto sobre el valor añadido por la Ley 39/2010, de 22 de diciembre, de presupuestos generales del Estado para el año 2011), vigésima octava (adaptación de la Ley reguladora del impuesto general indirecto canario a los cambios realizados en la Ley 37/1992, de 28 de diciembre, del impuesto sobre el valor añadido, por la Ley 2/2010, de 1 de marzo, por la que se transponen determinadas Directivas en el ámbito de la imposición indirecta y se modifica la Ley del impuesto sobre la renta de no residentes para adaptarla a la normativa comunitaria) y trigésima (concepto de rehabilitación a efectos de la materialización de la reserva para inversiones en Canarias), de la Ley 2/2011, de 4 de marzo, de economía sostenible (Ley 2/2011,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vulnerados los arts. 46.3 y 4 del Estatuto de Autonomía de Canarias (EACan) y la disposición adicional tercera de la Constitución porque la Ley 2/2011 se aprobó sin el preceptivo informe previo del Parlamento de Canarias. Este informe era preceptivo porque las citadas disposiciones modifican el régimen económico y fiscal de la Comunidad Autónoma de Canarias, toda vez que introducen modificaciones en las dos leyes en las que se sustenta dicho régimen especial: la Ley 20/1991, de 7 junio, de modificación de los aspectos fiscales del régimen económico y fiscal de Canarias, y la Ley 19/1994, de 6 de julio, de modificación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describiendo el régimen económico y fiscal de la Comunidad Autónoma de Canarias, cuyo núcleo esencial viene definido en el apartado primero del art. 46 EACan, y se concreta en la libertad comercial de importación y exportación, en la no aplicación de monopolios y en la existencia de franquicias aduaneras y fiscales sobre el consumo. Recoge a continuación la doctrina contenida en la STC 16/2003, de 30 de enero, entre otras, sobre el carácter preceptivo del informe, cuya omisión tiene virtualidad suficiente para provocar la inconstitucionalidad de la ley estatal eventualmente dictada sin agotar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demanda que ni el Gobierno, autor del proyecto de ley, ni tampoco ninguna de las cámaras legislativas cumplimentó el trámite de remisión al Parlamento de Canarias. Se transcriben a continuación extractos del dictamen del Consejo consultivo de Canarias, (número 206-2011, de 8 de abril), acerca de la importancia de este trámite y las consecuencias de su omisión. En dicho dictamen se concluye que las disposiciones impugnadas han llevado a cabo una modificación del régimen económico y fiscal canario, ya que se han introducido reformas e innovaciones de determinados preceptos de las leyes configuradoras de dicho régimen especial (las citadas leyes 20/1991 y 19/1994). En concreto, considera la demanda que no se trata de una mera afectación, en el sentido del art. 46.4 EACan, sino de normas que directamente modifican aspectos del régimen especial canario, ya que de modo expreso y directo los preceptos legales impugnados modifican pasajes de las leyes configuradoras del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por último el alegato, de forma detallada, todas las veces en las que se ha recabado el citado informe del Parlamento de Canarias, lo que ha sucedido siempre que se ha llevado a cabo alguna modificación de las dos citadas leyes reguladoras de su régimen económico y fiscal, lo que prueba la existencia de una práctica parlamentaria consolidada de emisión de informes por parte del Parlamento de Canarias, con ocasión de cualquier modificación, sea puntual o de mayor calado sustantivo, de aspectos contemplados por dicho marco legal. En consecuencia, la omisión de solicitud al Parlamento de Canarias sólo se explica por un “olvido en la tramitación de dicha iniciativa legislativa en las Cortes Generales” lo que no impide el resultado de inconstitucionalidad de las citadas disposiciones tal y como se pide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junio de 2011, el Pleno del Tribunal acordó admitir a trámite el recurso de inconstitucionalidad promovido por el Parlamento de Canarias y, en su representación y defensa, por el Letrado del mismo, contra la disposición transitoria octava y las disposiciones finales vigésima séptima, vigésima octava y trigésima de la Ley 2/2011.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ordenó publicar la incoación del proceso en el “Boletín Oficial del Estado”, lo que tuvo efecto en el número 143, de 16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 fecha de 22 de junio de 2011, el Presidente del Senado comunicó el acuerdo de la Mesa de la Cámara por el que se persona en el procedimiento a los efectos de formular las alegaciones pertinentes, encomendando la representación y defensa de la Cámara al Letrado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24 de junio de 2011 se registra el escrito del Presidente del Congreso de los Diputados comunicando el acuerdo de la Mesa de la Cámara por el que ésta se personará en el procedimiento, si bien a los solos efectos de formular alegaciones en relación con los vicios de procedimiento legislativo que se denuncian en la demanda, en lo que afecta al Congreso de los Diputados. Se decide en el mismo acuerdo encomendar la representación y defensa de la Cámara al Letrado de las Cortes Generales correspondiente,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junio de 2011 tuvo entrada en el Registro General de este Tribunal el escrito de alegaciones del Letrado del Senado,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recordando que, de acuerdo con una práctica reiterada, el Senado sólo comparece y formula alegaciones en relación con los supuestos vicios de procedimiento parlamentario invocados por la recurrente y en lo que puedan afectar a los proyectos de ley que en ella se tramitan.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las consecuencias del eventual incumplimiento de la disposición adicional tercera de la Constitución, en relación con el artículo 46, apartados 3 y 4 del Estatuto de Autonomía de Canarias, con cita de la STC 16/2003 entre otras, destaca que el modelo establecido en el régimen económico y fiscal de Canarias no exige una concurrencia de voluntades entre el Estado y esta Comunidad Autónoma, ya que, en todo caso, la Constitución no se refiere a un informe vinculante sino sólo preceptivo. Añade que la tramitación parlamentaria de los proyectos de ley en el Senado está sujeta a un plazo, lo que limita críticamente las facultades de esta Cámara. En el caso concreto de la tramitación de este proyecto de ley, destaca que se presentaron al mismo un total de 617 enmiendas, y que todo parece indicar, teniendo en cuenta su tramitación, que la emisión del informe por parte del Parlamento de Canarias debió de tener lugar en un momento anterior del procedimiento parlamentario con vistas a que este órgano autonómico pueda formar convenientemente su voluntad sobre las cuestiones que puedan afectar al régimen económico y fiscal canario. Así se desprendería además de las SSTC 35/1984, FJ 4, y 106/2003, FJ 9, de manera que en ningún caso era exigible que el Senado hubiera solicitado formalmente la emisión del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en concreto el objeto del recurso, considera el alegato que debería quedar reducido a una sola de las cuatro disposiciones cuya inconstitucionalidad se pretende, ya que la disposición transitoria octava no introdujo modificación alguna, mientras que las contenidas en las disposiciones finales vigésima octava y trigésima fueron de carácter técnico. Quedaría por tanto sólo la discrepancia sobre la disposición final vigésima séptima, si bien no es preciso entrar en detalles sobre su contenido ya que el escrito del Parlamento de Canarias lleva a cabo una impugnación global de todas las disposiciones sin aportar referencias específicas sobre su contenido y cómo afecta dicho contenido al régimen especial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todo caso, nada impedía al Parlamento de Canarias haber actuado de oficio, durante la tramitación de la norma impugnada, tramitación que es pública y que por tanto podría haber sido seguida por la Cámara autonómica. Destaca además que en el seno de la propia Cámara, ningún Senador o grupo parlamentario planteó la cuestión a lo largo del procedimiento legislativo, ni tan siquiera los senadores designados por el propio Parlamento de Canarias. No consta tampoco escrito ni intervención alguna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interesa la desestimación del presente recurso en cuanto afecta al supuesto vicio de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julio de 2011 tuvo entrada en el Registro General de este Tribunal el escrito de alegaciones del Abogado del Estado, en la representación que legalmente ostenta, por el que se solicita la desestimación total del presente recurso de inconstitucionalidad, basándose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señalando que las disposiciones de la Ley 2/2011, cuya inconstitucionalidad se alega, no estaban incluidas en el proyecto de ley inicialmente remitido por el Gobierno. Sin embargo, y pese a que el anteproyecto de ley no incluía ninguna norma que modificara o afectara al régimen económico y fiscal de Canarias, el Secretario de Economía solicitó al Vicepresidente del Gobierno canario que le hiciera llegar sus sugerencias, en carta de 8 de enero de 2010 que se acompaña como documento. Las disposiciones impugnadas se introdujeron en el texto durante su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comienza el alegato resumiendo la doctrina de este Tribunal contenida en las SSTC 35/1984, de 13 de marzo; 16/2003, de 30 de enero; 137/2003, de 3 de julio; 108/2004, de 30 de junio; 109/2004, de 30 de junio; 134/2004, de 22 de julio, y 67/2005, de 17 de marzo. A partir de ahí destaca que el Estatuto de Autonomía de Canarias prevé dos informes: de un lado, el exigido por la disposición adicional tercera de la Constitución, que desarrolla el art. 46.3 EACan y, de otro, la audiencia prevista en el art. 46.4 EACan. El primero, previsto en la Constitución, ha de producirse sobre el texto propio de la iniciativa legislativa —es decir con carácter previo a la tramitación en las Cortes Generales—, pudiendo lógicamente introducirse después modificaciones durante el procedimiento legislativo, en cuyo caso precisaría un nuevo informe del Parlamento canario si tales modificaciones alteraran sustancialmente el proyecto. Sin embargo, destaca también el escrito que la STC 109/2004 hace referencia a la posibilidad de que el informe pudiera ser solicitado tanto por el Gobierno como por el Congreso o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incluso entendiendo que también el Congreso y el Senado podrían estar obligados a solicitar el informe del Parlamento canario, la omisión de dicha solicitud no puede determinar la inconstitucionalidad de la norma posterior, pues en virtud del principio vigilantibus non dormientibus iura subveniunt también la publicidad inherente al procedimiento legislativo habría permitido al Parlamento canario el conocimiento de las enmiendas presentadas, de manera que la falta de diligencia o el desinterés de dicho Parlamento debería privar de eficacia invalidante a la omisión de su informe o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todo caso el Abogado del Estado que la demanda de inconstitucionalidad no se pronuncia con claridad acerca de si el supuesto que nos ocupa debe encuadrarse en el apartado tres o en el cuatro del art. 46 EACan, aspecto que tiene relevancia pues sólo el primero está constitucionalmente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Asumiendo que se tratara del informe a que se refiere la disposición adicional tercera de la Constitución, debe tenerse en cuenta que las disposiciones impugnadas no suponían en ningún caso la modificación del régimen fiscal canario, sino tan sólo adaptaciones o adecuaciones puntuales, por lo que, aplicando por analogía la doctrina contenida en la STC 27/1981, de 20 de julio, FFJJ 2, 3, 6 y 7, debería considerarse que aquellas normas que lleven a cabo una “mera adecuación circunstancial” o la “adaptación” del régimen no deberían requerir informe. Así sucedería en este caso, pues, por una parte, la disposición final vigesimoséptima adapta el impuesto general indirecto canario a las modificaciones que se habían producido en la Ley del impuesto sobre el valor añadido (IVA), mientras que, por otra, la disposición final vigesimoctava adecua el impuesto general indirecto canario a otras modificaciones que habían tenido lugar en la Ley del IVA a consecuencia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disposiciones transitoria octava y final trigésima, relativas ambas a la reserva para inversiones en Canarias, éstas pretenden fomentar la renovación de la planta turística de Canarias, para conseguir que muchos establecimientos turísticos obsoletos se pongan de nuevo en explotación, sin dañar la imagen turística global del archipiélago, según la motivación que acompañaba a la enmienda. Por tanto no se afecta a las materias que pueden considerarse dentro del perímetro del régimen económico y fiscal sujeto a la garantía procedimental de la disposición adicional tercera de la Constitución, de acuerdo con lo dispuesto en la STC 62/2003, de 27 de marzo, FJ 4, y el art. 46.1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julio de 2011 se registra en el Tribunal el escrito del Letrado del Congreso de los Diputados, en la representación que legalmente ostenta, interesando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con algunas consideraciones generales en cuanto a la naturaleza de los informes, y del régimen económico y financiero de Canarias, afirmando que no toda modificación que pueda afectar al mismo precisa de informe previo, apoyando su alegato en la doctrina de este Tribunal, con cita entre otras de las SSTC 137/2003, de 3 de julio, y 67/2005, de 15 de marzo. Continúa afirmando que el informe preceptivo debe en todo caso respetar la “potestad legislativa total”, que el artículo 66 de la Constitución atribuye a las Cortes Generales. Destaca además que el procedimiento legislativo regulado en los artículos 72 y 87, entre otros, de la Constitución no hace ninguna referencia al citado informe, de manera que no existe en el procedimiento legislativo un trámite singular y específico para la emisión del mismo. La inexistencia de este trámite exige integrar las normas de tal modo que cumplan con sus respectivas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impugnaciones en particular, destaca que las disposiciones que se controvierten no suponen la introducción de legislación nueva que afecten sustancialmente al régimen económico y fiscal canario, ni se trata tampoco ni siquiera de modificaciones sustanciales sino de meras actualizaciones. Por tanto el presente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2013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Canarias contra la disposición transitoria octava (reserva para inversiones en Canarias), y las disposiciones finales vigésima séptima (adaptación de la Ley reguladora del impuesto general indirecto canario a los cambios realizados en la Ley 37/1992, de 28 de diciembre, del impuesto sobre el valor añadido por la Ley 39/2010, de 22 de diciembre, de presupuestos generales del Estado para el año 2011), vigésima octava (adaptación de la Ley reguladora del impuesto general indirecto canario a los cambios realizados en la Ley 37/1992, de 28 de diciembre, del impuesto sobre el valor añadido, por la Ley 2/2010, de 1 de marzo, por la que se transponen determinadas Directivas en el ámbito de la imposición indirecta y se modifica la Ley del impuesto sobre la renta de no residentes para adaptarla a la normativa comunitaria) y trigésima (concepto de rehabilitación a efectos de la materialización de la reserva para inversiones en Canarias), de la Ley 2/2011, de 4 de marzo, de economía sostenible (Ley 2/2011,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tienen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octava se refiere a la denominada “reserva para inversiones en Canarias”, regulada en el art. 27 de la Ley 19/1994, de 6 de julio, de modificación del régimen económico y fiscal de Canarias. La disposición establece el carácter retroactivo de la reforma que acomete la también impugnada disposición final trigésima de la Ley 2/2011, que será de aplicación a las dotaciones a la reserva para inversiones procedentes de beneficios de períodos impositivos iniciados a partir de 1 de enero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finales vigésima séptima y vigésima octava modifican determinados preceptos de la Ley 20/1991, de 7 de junio, de modificación de los aspectos fiscales del régimen económico y fiscal de Canarias (Ley 20/1991), referidos todos al impuesto general indirecto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vigésima séptima, que se titula “Adaptación de la Ley reguladora del Impuesto General Indirecto Canario a los cambios realizados en la Ley 37/1992, de 28 de diciembre, del Impuesto sobre el Valor Añadido por la Ley 39/2010, de 22 de diciembre, de Presupuestos Generales del Estado para el año 2011”, modifica los arts. 11.4; 12.7; 14.1, y 9; 17.3 a); 31.1.3; 32; 33.4, añade un apartado 8 al art. 48 y modifica, finalmente, el art. 59.1 c),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vigésima octava, rotulada con la rúbrica “Adaptación de la Ley reguladora del Impuesto General Indirecto Canario a los cambios realizados en la Ley 37/1992, de 28 de diciembre, del Impuesto sobre el Valor Añadido, por la Ley 2/2010, de 1 de marzo, por la que se transponen determinadas Directivas en el ámbito de la imposición indirecta y se modifica la Ley del Impuesto sobre la Renta de no Residentes para adaptarla a la normativa comunitaria”, modifica los arts. 14.11; y 17.3.1, párrafo 2, de la misma Ley 20/1991,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trigésima, finalmente, titulada “Concepto de rehabilitación a efectos de la materialización de la Reserva para inversiones en Canarias”, modifica el art. 27.4 a) y c), de la Ley 19/1994, de 6 de julio, de modificación del régimen económico y fiscal de Canarias. En concreto, afectan al plazo y condiciones que deben cumplir las inversiones para que resulte aplicable la reserva para inversiones en Canarias; esto es, regula el beneficio fiscal consistente en la reducción de la base imponible del impuesto sobre sociedades para aquellas entidades sujetas al mismo en relación con los beneficios reinvertidos en la Comunidad Autónoma por parte de los establecimientos en ella situados (art. 27.1 de la Ley 19/1994).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demanda, con los argumentos que han sido ya recogidos en los antecedentes, que las disposiciones impugnadas vulneran los arts. 46.3 y 4 del Estatuto de Autonomía de Canarias (EACan) y la disposición adicional tercera de la Constitución, porque la Ley 2/2011 se aprobó sin que previamente se hubiera solicitado el preceptivo informe al Parlamento de Canarias, a pesar de que las anteriores disposiciones han llevado a cabo una modificación del régimen económico y fiscal canario, introduciendo reformas e innovaciones de determinados preceptos de las leyes configuradoras de dicho régimen especial (las citadas Leyes 20/1991 y 19/1994).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un lado, que las disposiciones transitoria octava y final trigésima, relativas a la reserva para inversiones en Canarias, no afectan al régimen económico y fiscal de Canarias, pues no se refieren a materias incluidas en el perímetro de dicho régimen especial, de acuerdo con el art. 46.1 EACan y el fundamento jurídico 4 de la STC 62/2003, de 27 de marzo. Por otro lado, estima que, si bien las otras dos disposiciones, finales, vigésima séptima y vigésima octava, modifican el impuesto general indirecto canario, no puede entenderse que con ello se haya alterado el régimen económico y fiscal de Canarias en los términos cubiertos por la garantía constitucional y estatutaria, pues se trata en todo caso de cambios normativos puntuales, de alcance limitado y sin suficiente entidad por tanto para requerir un informe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interesa la desestimación del recurso por entender que, en todo caso, el informe debía haberse solicitado con anterioridad al inicio del proceso legislativo, mientras que, para la representación procesal del Congreso, dicho informe preceptivo debe respetar la potestad legislativa total, que el art. 66 CE atribuye a las Cortes Generales, destacando por otro lado que, en el procedimiento legislativo regulado en los arts. 72 y 87 CE, no se hace referencia alguna a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esta controversia debemos recordar las principales características del régimen económico-fiscal canario, así como nuestra doctrina en relación con la garantía procedimental a que se refiere la disposición adicional tercera de la Constitución y desarrolla el art. 46.3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que, inicialmente y como señala el Abogado del Estado en su escrito, la demanda cita como vulnerados los apartados 3 y 4 del art. 46 EACan, también se afirma en ella, en un momento posterior, que las normas impugnadas no suponen una mera afectación al régimen económico y fiscal de Canarias, en el sentido del art. 46.4 EACan, sino que se trata de normas que directamente modifican aspectos del régimen especial canario, en el sentido del art. 46.3 EACan, ya que de modo expreso y directo la norma legal revisa preceptos de las leyes configuradoras del régimen especial. Además, la argumentación tanto de este escrito como del resto de partes en el proceso se refiere principalmente al apartado 3 del art. 46, que desarrolla directamente la garantía procedimental de la disposición adicional tercera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46.1 EACan, Canarias goza de un régimen económico-fiscal especial “basado en la libertad comercial de importación y exportación, no aplicación de monopolios y en franquicias aduaneras y fiscales sobre el consumo”. Este régimen, según el apartado 2 del mismo precepto, “incorpora a su contenido los principios y normas aplicables como consecuencia del reconocimiento de Canarias como región ultraperiférica de la Unión Europea, con las modulaciones y derogaciones que permitan paliar las características estructurales permanentes que dificultan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procedimental se recoge en la disposición adicional tercera de la Constitución, que establece que “la modificación del régimen económico y fiscal del archipiélago canario requerirá informe previo de la Comunidad Autónoma o, en su caso, del órgano provisional autonómico”. El art. 46 EACan concreta esta obligación en su apartado tercero, estableciendo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Finalmente, el apartado cuarto del precepto dispone que “el Parlamento Canario deberá ser oído en los proyectos de legislación financiera y tributaria que afecten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contenido de dicho régimen especial, hemos reiterado que tiene carácter finalista, que es heterogéneo, porque está integrado por medidas fiscales y de otra índole, y que es evolutivo.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tributario del régimen tiene, como núcleo central, un particular sistema de imposición indirecta, además de determinados beneficios fiscales. Como recordamos en la STC 62/2003, de 27 de marzo, sin perjuicio de la permanente evolución de dicho régimen, compuesto por medidas heterogéneas “que han ido adaptándose a las necesidades de cada momento, con el claro objetivo de impulsar el desarrollo económico y social del archipiélago”, cabe en todo caso “identificar ... algunos rasgos relacionados con la imposición indirecta que se han venido manifestando de forma constante. En primer lugar, la concurrencia en el ámbito territorial canario de impuestos indirectos tanto de ámbito estatal como insular cuya materia imponible ha sido el consumo y, en particular, el comercio minorista. En segundo lugar, la exclusión de determinados productos del ámbito de esa imposición indirecta. Y, en tercer lugar, la atribución de la gestión y el rendimiento de determinados impuestos y arbitrios a los Cabildos. Ahora bien, como han puesto de manifiesto las exposiciones de motivos de las Leyes 20/1991, de 7 de junio, de modificación de los aspectos fiscales del régimen económico y fiscal de Canarias, y 19/1994, de 6 de julio, de modificación del régimen económico y fiscal de Canarias, la característica fundamental de este régimen ha sido la de mantener ‘una presión fiscal indirecta, diferenciada y menor que en el resto del Estado’ (Ley 20/1991), y hoy también de la Unión Europea (Ley 19/1994), mediante una estructura impositiva con tributos equivalentes o similares a los existentes en el resto del territorio nacional” (FJ 4; en el mismo sentido, SSTC 137/2003, de 3 de julio, FJ 8; 108/2004, de 30 de junio, FJ 9; y 100/2012,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contenido del régimen no es sólo tributario sino que, como su propia denominación refleja, también está integrado por medidas de tipo económico, lo que enlaza con el alcance “esencialmente finalista” del mismo, de manera que “se integra por un conjunto de elementos —no exclusivamente fiscales— de carácter rigurosamente instrumental, en cuanto que son puros medios para conseguir un fin —art. 138.1 CE—, concretamente, la realización efectiva del principio de solidaridad atendiendo precisamente al hecho insular”, lo que es compatible con el carácter evolutivo de dicho régimen [STC 16/2003, de 30 de enero,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carácter evolutivo del régimen se pone de manifiesto con su adaptación a las circunstancias de cada época o momento histórico, y, “en el campo de esas ‘circunstancias’ del hecho insular recogidas en el art. 138.1 CE, había una, expresamente anunciada en la Constitución, destinada a influir decisivamente en el régimen económico y fiscal de Canarias: el art. 93 CE era una clara previsión del ingreso de España en lo que hoy es la Unión Europea, acontecimiento que necesariamente había de tener una importante repercusión en el régimen económico y fiscal” [STC 100/2012, FJ 5, con cita de la STC 16/2003,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del régimen especial canario, definido en los apartados 1 y 2 del art. 46 EACan, se contiene en dos normas: la Ley 20/1991, de 7 de junio, de modificación de los aspectos fiscales del régimen económico y fiscal de Canarias, y la Ley 19/1994, del 6 de julio, de modificación del régimen económico y fiscal de Canarias, que recogen tanto las medidas tributarias específicas, como las diferentes medidas de fomento de la economía de la Comunidad Autónoma, de contenido heterogéneo.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 lado, y por lo que estrictamente interesa a este proceso, la Ley 20/1991 estableció un sistema de fiscalidad indirecta caracterizado por la necesidad de adecuar las figuras impositivas aplicables en Canarias a las exigencias de la entonces Comunidad Económica Europea. Entre otras figuras, se encuentra el denominado impuesto general indirecto canario, impuesto que resulta de aplicación en lugar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Ley 19/1994 establece diversas medidas de fomento de la economía de esta Comunidad Autónoma, entre ellas la creación de la “zona especial canaria”, que, de acuerdo con la exposición de motivos, pretende fomentar que “puedan ubicarse capitales y empresas provenientes del exterior, los cuales, atraídos por las ventajas inherentes a este tipo de zonas especiales, coadyuven a potenciar el desarrollo económico y social del archipiélago”. Entre dichas medidas de fomento o incentivo fiscal se encuentra el beneficio fiscal denominado “reserva para inversiones en Canarias”, regulado en el art. 27 de la Ley 19/1994 y que consiste en una reducción, en la base imponible del impuesto sobre sociedades, para aquellas entidades cuyos establecimientos estén situados en Canarias, siempre que reinviertan sus beneficios en la Comunidad Autónoma con las condiciones y requisitos establecidos en el precepto. Se trata de un beneficio fiscal que constituye una ayuda de Estado autorizada inicialmente mediante la Decisión de la Comisión Europea SG(98) D/669, de 23 de enero de 1998 y, posteriormente prorrogada, hasta 2013, por la Decisión de la Comisión Europea C(2006) 6635 final, de 20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concreto, sobre la garantía procedimental contenida en la disposición adicional tercera CE, que desarrolla el art. 46 EACan, nos hemos pronunciado en numerosas ocasiones, conformando un cuerpo doctrinal consolidado que además es conocido por las partes en el proceso, pues la citan en sus escritos. Esto nos permite limitarnos a recordar las ideas esenciales necesarias para la resolución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desde la STC 35/1984, de 13 de marzo, FJ 4, hemos reiterado que este informe es exigible siempre que la norma estatal incida sobre el ámbito de la garantía procedimental o, lo que es lo mismo, suponga una modificación de los elementos que integran el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que pueda entenderse que una norma está destinada a modificar el régimen económico y fiscal, resultando exigible el citado informe previo, hemos afirmado que basta con que se modifiquen algunos de los elementos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hemos considerado que supone una modificación del régimen que exige informe previo una norma que deroga la exacción sobre el precio de las gasolinas de automoción en las islas Canarias, Ceuta y Melilla (STC 35/1984, FJ 4); o la reducción del tipo de gravamen del impuesto sobre medios de transporte, impuesto de ámbito estatal pero que tiene rasgos singulares en Canarias (STC 137/2003, de 3 de julio, FJ 9). Por el contrario, no afecta al régimen económico y fiscal canario una norma que incrementa los tipos de gravamen del impuesto especial sobre el alcohol y las bebidas derivadas, pues “históricamente los alcoholes han sido objeto de gravamen en el archipiélago canario por los mismos tributos que en el resto del Estado, de manera que no disfrutaron de las franquicias fiscales al consumo y franquicias aduaneras” (STC 108/2004,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las controversias resueltas por las SSTC 134/2004, de 22 de julio, y 67/2005, de 17 de marzo, en las que respectivamente se planteaba si era preciso el informe previo en relación con la zona especial canaria, por un lado, y con el régimen de subvenciones al transporte aéreo de ciudadanos residentes en las islas canarias, por otro, el Tribunal no llegó a pronunciarse sobre el fondo, al determinar en ambos casos la pérdida de objeto, entre otras razones porque el Estado había recabado informe, lo que zanjaba la controversia competencial (fundamento jurídico 4 de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consecuencias del informe a que se refiere el art. 46.3 EACan, hemos reiterado que no es vinculante, de manera que su sentido desfavorable no impide la modificación del régimen especial canario (STC 109/2004, de 30 de junio, FJ 7); pero sí es preceptivo, por lo que su ausencia determina la inconstitucionalidad de la norma pertinente (SSTC 35/1984, de 13 de marzo, FJ 7; y 137/2003, FFJJ 9 y 10,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consecuencia de inconstitucionalidad de la norma tiene la omisión de la “audiencia” a que se refiere el art. 46.4 EACan, que establece que “el Parlamento Canario deberá ser oído en los proyectos de legislación financiera y tributaria que afecten al régimen económico-fiscal de Canarias”. En efecto, como afirmamos en la STC 137/2003, de 3 de julio, FJ 9, ambos (informe y audiencia) son constitucionalmente exigibles cuando se dan los presupuestos de hecho contenidos en la norma, tratándose así de un “informe o audiencia que, aunque, como señalamos en la tantas veces citada STC 16/2003, no tienen naturaleza vinculante ... sí tienen carácter preceptivo, de manera que su omisión, tal y como concluimos en la STC 35/1984, constituye una violación que entraña la inconstitucionalidad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cuanto al momento de su solicitud, afirmamos en la STC 16/2003, de 30 de enero, que el momento idóneo para solicitarlo era antes de la tramitación de la iniciativa legislativa en las Cortes Generales, “justamente para que en ésta pueda tomarse en consideración el parecer del Parlamento canario”. Ahora bien, ello no impide su solicitud en un momento posterior, que resulta además exigible, debiéndose incluso solicitar un nuevo informe cuando en dicho debate se introduzcan modificaciones que alteren el proyecto “tan radicalmente que no pueda tenerse por informado”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marco legal brevemente expuesto y de nuestra consolidada doctrina se infiere, en primer lugar, que el régimen económico y fiscal canario es finalista y, por ello mismo, tiene un contenido heterogéneo, pues está integrado tanto por un conjunto de medidas tributarias, entre las que destaca un sistema de imposición al consumo distinto al del resto del Estado, como por medidas económicas, que tienen la finalidad de compensar la lejanía de esta Comunidad Autónoma, el carácter insular y su particular geografía. En segundo lugar, hemos constatado que el régimen es además evolutivo, lo que se refleja, entre otros aspectos, en las transformaciones que ha experimentado tras la entrada de España en la Unión Europea, y el posterior reconocimiento de esta Comunidad Autónoma como región ultraperiférica, como dispone el art. 46.2 EACan y se establece en el art. 349 del Tratado de funcionamiento de la Unión Europea. En tercer lugar, toda afectación o modificación del régimen, desarrollado en las citadas Leyes 20/1991 y 19/1994, requieren para su aprobación bien de audiencia, bien que se solicite informe previo del Parlamento canario, informe y audiencia previa que no resultan vinculantes pero sí son preceptivos, de manera que la ausencia de su solicitud determina la inconstitucionalidad de la norma que modifique o afecte al régimen económico y fiscal canario. Finalmente, en cuarto lugar, el informe debe solicitarse siempre antes de la aprobación de la norma, en concreto durante la tramitación parlamentaria si a resultas de ésta se introduce alguna modificación en la iniciativa legislativa que suponga la afectación al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 permite ya descartar, desde este momento, el argumento que esgrimen tanto el Abogado del Estado como las representaciones procesales de ambas Cámaras, que consideran que la propia publicidad del proceso legislativo habría permitido a la Comunidad Autónoma de Canarias conocer la tramitación de las normas que le afectan y emitir el informe, de forma que incluso se habría producido una falta de diligencia por parte de ésta, lo que consideran las partes debería tener, como consecuencia, que la ausencia de informe en este caso no determine la inconstitucionalidad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este argumento no encuentra amparo en la Constitución o en la norma estatutaria, ni por supuesto está avalado por nuestra doctrina, debemos dejar constancia de que es el propio principio de lealtad institucional, que hemos recordado que “constituye un soporte esencial del funcionamiento del Estado autonómico cuya observancia resulta obligada” (por todas SSTC 123/2012, de 5 de junio, y 239/2002, de 11 de diciembre, FJ 11), el que exige el cumplimiento de las normas cuando se dan los presupuestos en ellas contenidos, en este caso la petición de informe o incluso la audiencia previa del Parlamento de Canarias, que, como hemos reiterado en la jurisprudencia citada, debe ser recabado por parte de quienes tramitan la iniciativa legislativa, sin que pueda resultar aceptable que la falta de cumplimiento de la garantía procedimental del régimen económico y fiscal de Canarias pueda imputarse precisamente a esta Comunidad Autónoma en los términos pretendidos por las partes. Deben también desestimarse expresamente los argumentos, esgrimidos por las representaciones procesales de ambas Cámaras, relativos al carácter taxativo de los plazos de la tramitación legislativa, que consideran habrían impedido la solicitud del informe. Frente a ello, conviene reiterar que el carácter tasado o limitado no puede oponerse, en los términos pretendidos, al cumplimiento de las obligaciones constitucionales, especialmente cuando expresamente hemos insistido en que cuando las iniciativas legislativas se alteren durante su tramitación resulta preceptivo solicitar un nuevo informe (por todas, STC 16/2003,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examinar el fondo de esta controversia, y determinar si el informe o la audiencia previa habrían resultado exigibles en este caso. Como hemos descrito en los antecedentes y en el fundamento primero, la demanda alega, como único motivo de inconstitucionalidad, el incumplimiento de la garantía procedimental establecida tanto en la disposición adicional tercera CE como en el art. 46.3 y 4 EACan, toda vez que las disposiciones impugnadas, introducidas durante la tramitación parlamentaria de la Ley 2/2011, lo fueron con omisión del informe previo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ya que no se solicitó informe, algo en lo que coinciden todas las partes en el proceso, la cuestión a determinar es si las disposiciones controvertidas han llevado a cabo una modificación del régimen económico y fiscal, pues, de ser así, se habría infringido efectivamente la citada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vinculación, se examinarán, por un lado, las disposiciones impugnadas que se refieren a la reserva de inversiones (disposición transitoria octava y disposición final trigésima) y, por otro, las relativas al impuesto general indirecto canario (disposiciones finales vigésima séptima y vigésima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transitoria octava establece el carácter retroactivo de las dotaciones a la reserva para inversiones en Canarias procedentes de beneficios de períodos impositivos iniciados a partir de 1 de enero de 2007, que se regula por lo establecido en el art. 27 de la Ley 19/1994, de 6 de julio, de modificación del régimen económico y fiscal de Canarias, con las modificaciones introducidas por esta Ley. La disposición final trigésima modifica el citado art. 27 de la Ley 19/1994, que contiene el régimen jurídico de la denominada “reserva para inversiones en Canarias”. Como se expuso en el fundamento tercero, la citada reserva es una reducción, en la base imponible del impuesto sobre sociedades, por inversiones en esta Comunidad Autónoma. La disposición cuestionada modifica el plazo y las condiciones de estas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medida no guarda ninguna relación con las materias que pueden considerarse dentro del perímetro del régimen económico y fiscal de Canarias sujeto a la garantía procedimental. Esta consideración no puede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régimen económico y fiscal de Canarias no se limita al establecimiento de un sistema particular de tributación indirecta, pues, como hemos reiterado, su contenido es heterogéneo, como refleja el propio art. 46 EACan, en coherencia con la finalidad de este régimen de promover el desarrollo económico de la región, compensando su situación geográfica (insularidad y lejanía de la península). Así, hemos hecho constar que el carácter “esencialmente finalista” del régimen económico y fiscal resulta de un conjunto de elementos, que no son sólo fiscales, y que actúan como “puros medios para conseguir un fin”, ex art. 138.1 CE, en concreto, la realización efectiva del principio de solidaridad atendiendo precisamente al hecho insular. En fin, el régimen económico y fiscal canario tiene carácter heterogéneo, y abarca distintas medidas para apoyar el desarrollo socioeconómico de esta región en atención a sus condiciones geográficas, medidas que tienen además una doble justificación, pues son también consecuencia del Derecho de la Unión Europea, cual es la calificación de Canarias como “región ultraperiférica” [por todas, SSTC 16/2003, FJ 5 a) y 100/2012, FJ 5], en la actualidad reconocido en el art. 349 del Tratado de funcionamiento de la Unión Europea. Por eso, el régimen económico y fiscal de Canarias no se detiene en el contenido fijado en el art. 46.1 EACan, que cita el Abogado del Estado, sino que abarca también el citado en el apartado 2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concluye sin excesivas dificultades que la modificación del art. 27 de la Ley 19/1994 afecta al régimen especial canario, pues el precepto contiene una medida fiscal, consistente, como se ha expuesto, en la reducción en la base imponible del impuesto sobre sociedades, cuyo objetivo es precisamente hacer más atractiva la inversión en el territorio de la Comunidad Autónoma, por lo que la modificación de sus condiciones entra de lleno en el ámbito de la garantía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reiterada doctrina, se habría requerido informe previo, con arreglo al art. 46.3 EACan y la disposición adicional tercera de la Constitución. Debemos además precisar que, incluso si pudiera entenderse, como considera el Abogado del Estado, que en este caso habría bastado con dar cumplimiento al trámite de audiencia previa al que se refiere el art. 46.4 EACan, la consecuencia habría sido la misma, de acuerdo con nuestra consolidada doctrina (STC 137/2003,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omitido el preceptivo trámite de petición de informe al Parlamento canario, procede declarar que las disposiciones transitoria octava (reserva para inversiones en Canarias) y trigésima (concepto de rehabilitación a efectos de la materialización de la reserva para inversiones en Canarias), de la Ley 2/2011, de 4 de marzo, de economía sostenible son contrarias a la disposición adicional tercera de la Constitución y al art. 46.3 EACan, por lo que son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conclusión debe alcanzarse en relación con las disposiciones finales vigésima séptima (adaptación de la Ley reguladora del impuesto general indirecto canario a los cambios realizados en la Ley 37/1992, de 28 de diciembre, del impuesto sobre el valor añadido por la Ley 39/2010, de 22 de diciembre, de presupuestos generales del Estado para el año 2011) y vigésima octava (adaptación de la Ley reguladora del impuesto general indirecto canario a los cambios realizados en la Ley 37/1992, de 28 de diciembre, del impuesto sobre el valor añadido, por la Ley 2/2010, de 1 de marzo, por la que se transponen determinadas Directivas en el ámbito de la imposición indirecta y se modifica la Ley del impuesto sobre la renta de no residentes para adaptarla a la normativa comunitaria) de la misma Ley, que como su propio título adelanta, modifican determinados aspectos del impuesto general indirecto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discute en este punto que este tributo forme parte del régimen especial canario, pero considera que las modificaciones acometidas no son sustanciales, sino únicamente adaptaciones o adecuaciones puntuales, por lo que aplicando por analogía la doctrina contenida en la STC 27/1981, de 20 de julio, (FFJJ 2, 3, 6 y 7) debería considerarse que aquellas normas que lleven a cabo una “mera adecuación circunstancial” o la “adaptación” del régimen no deberían requerir informe. Este argumento debe también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anteriormente, incluso si se tratara, como afirma el Abogado del Estado, de normas de limitado alcance, que tan sólo “adaptan” la normativa del impuesto, ninguna duda ofrece que este tributo forma parte del régimen económico y fiscal, por lo que de acuerdo con nuestra reiterada doctrina habría requerido, como mínimo, la audiencia previa a que se refiere el art. 46.4 EACan, que hemos constatado que tampoco se ha producido. Tanto la audiencia previa como el informe son preceptivos, aunque no vinculantes, por lo que se trata de trámites que no impiden ni tan siquiera limitan la modificación del régimen económico y fiscal de Canarias, sino que implican tan sólo otorgar a esta Comunidad un plus de participación en el proceso legislativo, con la garantía de ser oída en las reformas que atañen de forma directa a su régimen especial. Su carácter no vinculante otorga si cabe mayor importancia al hecho de que sean preceptivos, sin que la norma constitucional permita trazar la distinción que propone el Abogado del Estado entre modificaciones sustanciales y meras “actualizaciones”, pues incluso en esta calificación debe darse la oportunidad al Parlamento de esta Comunidad Autónoma para que alegue lo que estime conveniente en relación con el carácter sustancial, o meramente accesorio, de la reforma. De lo contrario, se desvirtuaría la garantía procedimental, dejando en manos exclusivas de quien propone la iniciativa legislativa, o de las propias Cámaras legislativas cuando la tramitan, determinar la importancia de la modificación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omisión de toda audiencia previa a la Comunidad Autónoma de Canarias, procede declarar que la disposición transitoria octava y las disposiciones finales vigésima séptima, vigésima octava y trigésima, de la Ley 2/2011, de 4 de marzo, de economía sostenible, son contrarias a la disposición adicional tercera de la Constitución y al art. 46 EACan y, por tanto, inconstitucionales y nulas, en los términos establecidos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nulidad inmediata que, como regla y de acuerdo con el art. 39.1 de la Ley Orgánica del Tribunal Constitucional, sigue a un pronunciamiento de inconstitucionalidad, debe ser matizada en este caso concreto ya que, por un lado, las disposiciones finales vigésima séptima y vigésima octava se aprobaron para reflejar las modificaciones a la Ley 37/1992, de 28 de diciembre, del impuesto sobre el valor añadido consecuencia de su adaptación al Derecho de la Unión Europea, por lo que no cabe descartar que su nulidad pudiera suponer también una infracción del mismo. Por otro lado, la reserva para inversiones en Canarias, a que se refieren la disposición transitoria octava y la final trigésima, ha sido modificada precisamente para incentivar la realización de determinadas inversiones en esta Comunidad Autónoma, de acuerdo con la finalidad de su régimen especial, por lo que la anulación inmediata del precepto generaría previsiblemente un perjuicio directo a esta misma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cohonestar por un lado la exigencia procedimental del informe previo de la Comunidad Autónoma de Canarias, que viene establecida directamente por la Constitución, y, por otro, los propios intereses de la Comunidad Autónoma de Canarias, que podrían experimentar un perjuicio derivado de vacíos normativos, la nulidad derivada de la declaración de inconstitucionalidad debe quedar diferida por el plazo de un año, plazo que se considera razonable para que, en su caso, se sustituyan las normas declaradas nulas una vez observado el procedimiento constitucional del informe previo emitido por el poder legislativo de la Comunidad Autónoma de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Parlamento de Canarias contra la disposición transitoria octava y las disposiciones finales vigésima séptima, vigésima octava y trigésima de la Ley 2/2011, de 4 de marzo, de economía sostenible y declarar su inconstitucionalidad y nulidad con el alcance establecido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