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septiembre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26 de diciembre de 2012, la Procuradora de los Tribunales doña Isabel Monterrey Martínez, en nombre y representación de la entidad mercantil Serrasan Motor, S.L., y don Félix Gustavo Blanco Serrano, y bajo la dirección del Letrado don Víctor Testal Monterrey, interpuso demanda de amparo contra Auto de la Sala de lo Civil del Tribunal Supremo en recurso de casación núm. 454-2012, contra Sentencia de la Sección Tercera de la Audiencia Provincial de Badajoz en rollo núm. 328-2011.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16 de julio de 2013, el Magistrado Excmo. Sr. don Juan Antonio Xiol Ríos manifestó su voluntad de abstenerse en el presente recurso de amparo y todas sus incidencias, por entender que concurría la causa establecida en el artículo 219.11 de la Ley Orgánica del Poder Judicial, supletoria de la Ley Orgánica 2/1979 (art. 80), al haber intervenido en instancia anterior, como en su condición de Presidente de la Sala de lo Civil del Tribunal Supremo.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Antonio Xiol Ríos,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Antonio Xiol Ríos en el recurso de amparo núm. 7222-2012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cuatro de septiembre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