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4020-2013 se impugna el Auto de la Sala Segunda del Tribunal Supremo en el recurso de casación 10073-2013 contra el dictado por la Sección </w:t>
      </w:r>
    </w:p>
    <w:p w:rsidRPr="00C21FFE" w:rsidR="00AD51A7" w:rsidRDefault="008777C4">
      <w:pPr>
        <w:rPr/>
      </w:pPr>
      <w:r w:rsidRPr="&lt;w:rPr xmlns:w=&quot;http://schemas.openxmlformats.org/wordprocessingml/2006/main&quot;&gt;&lt;w:lang w:val=&quot;es-ES_tradnl&quot; /&gt;&lt;/w:rPr&gt;">
        <w:rPr/>
        <w:t xml:space="preserve">Segunda de la Sala de lo Penal de la Audiencia Nacional de 20 de mayo de 2011, en ejecutoria 82-1997.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18 de julio de 2013, el Magistrado don Enrique López y López comunicó a los efectos oportunos que se abstenía de intervenir en el indicado recurso de amparo, de conformidad con el art. 80 de la Ley Orgánica del Tribunal Constitucional, por haber formado parte de la Sección Segunda de la Sala de lo Penal de la Audiencia Nacional que dictó el Auto de 20 de mayo de 2011, en la ejecutoria 82-1997, de la que trae causa la resolución impugnada en el recurso de amparo 4020-2013.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este Tribunal, la Sala,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el Auto de 20 de mayo de 2011, en la ejecutoria 82-1997, de la que trae causa la resolución impugnada en el recurso de amparo 4020-2013.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 4020-2013,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