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179</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11 de septiembre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diciembre de 2012, el Procurador de los Tribunales don Francisco García Crespo, en nombre y representación de Promociones San Fernando, S.A., interpuso demanda de amparo contra la Sentencia de fecha 13 de septiembre de 2011, dictada por la Sección Octava de la Audiencia Provincial de Sevilla recaída en rollo de apelación núm. 3974-2011 que se confirmó por Auto del Tribunal Supremo de 30 de octubre de 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26 de julio 2013, el Magistrado Excmo. Sr. don Juan Antonio Xiol Rios manifestó su voluntad de abstenerse en el presente recurso de amparo y todas sus incidencias, por entender que concurría la causa establecida en el art. 219.11 de la Ley Orgánica del Poder Judicial, supletoria de la Ley Orgánica 2/1979 (art. 80), al haber intervenido en instancia anterior en su condición de Magistrado de la Sala Primera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Antonio Xiol Rios,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Juan Antonio Xiol Rios en el recurso de amparo núm. 7145-2012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septiembre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