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18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31 de mayo de 2013 de la Sala de lo Penal del Tribunal Supremo recaída en recurso de casación 11091-2012 interpuesto contra la Sentencia de 31 de julio de 2012 dictada por la Sección Segunda de la Sala de lo Penal de la Audiencia Nacional en el rollo de sala núm. 30-2003 dimanante del Sumario núm. 12-2003, procedente del Juzgado Central de Instrucción núm. 2,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septiembre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la Sentencia de 31 de julio de 2012 de la que trae causa la resolución impugnada en el presente recurso de amparo núm. 4926-2013.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la Sentencia de 31 de julio de 2012, en el rollo de sala 30-2003 dimanante del sumario 12-2003 de la que trae causa la resolución impugnada en el presente recurso de amparo 4926-2013.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4926-2013,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