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19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10 de noviembre  de 2011 dictado por la Sección Primera de la Sala de lo Contencioso-Administrativo del Tribunal Supremo en recurso de casación núm. 1179-2011 interpuesto contra la Sentencia dictada por la Sección Séptima de la Sala de lo Contencioso-Administrativo de la Audiencia Nacional en el recurso núm. 193-2009.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18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10 de noviembre de 2011, resolución impugnada en el presente recurso de amparo núm. 3315-2012.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10 de noviembre de 2011 en el recurso de casación núm. 1179-2011, que ha sido impugnado en el presente recurso de amparo núm. 3315-2012.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 3315-2012,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