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186</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19 de septiembre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antes referido se impugna el Auto de 12 de enero de 2012 dictado por la Sección Primera  de la Sala de lo Contencioso-Administrativo del Tribunal Supremo en recurso de casación núm. 316-2011 interpuesto contra la Sentencia dictada el 16 de diciembre de 2010 por la Sección Segunda  de la Sala de lo Contencioso-Administrativo de la Audiencia Nacional en el recurso núm. 453-2007.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18 de septiembre de 2013 el Magistrado don Juan José González Rivas comunicó a los efectos oportunos que se abstenía de intervenir en el antes indicado recurso de amparo, de conformidad con el art. 80 de la Ley Orgánica del Tribunal Constitucional, por haber formado parte de la Sección Primera de la Sala Tercera del Tribunal Supremo, que dictó el Auto de 12 de enero de 2012, resolución impugnada en el presente recurso de amparo núm. 3814-2012.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José González Rivas,  Magistrado de esta  Sección Tercera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Tercera del Tribunal Supremo que dictó el Auto de 12 de enero de 2012 en el recurso de casación núm. 316-2011,  que ha sido impugnado en el presente recurso de amparo núm. 3814-2012.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José González Rivas en el recurso de amparo núm. 3814-2012,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septiembre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