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10 de mayo de 2012 dictado por la Sección Primera de la Sala de lo Contencioso-Administrativo del Tribunal Supremo en recurso de casación núm. 6176-2011 interpuesto contra la Sentencia dictada el 1 de septiembre de 2011 por la Sección Octava de la Sala de lo Contencioso-Administrativo de la Audiencia Nacional en el recurso núm. 180-2010.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mayo de 2012, resolución impugnada en el presente recurso de amparo núm. 5985-2012.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mayo de 2012 en el recurso de casación núm. 6176-2011, que ha sido impugnado en el presente recurso de amparo núm. 5985-2012.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José González Rivas en el recurso de amparo núm. 5985-2012,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