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23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8 de marzo de 2012 de la Sección Primera de la Sala de lo Contencioso-Administrativo del Tribunal Supremo recaído en recurso de casación 5537-2011 interpuesto contra la Sentencia de 3 de noviembre de 2010 dictada por la Sección Segunda de la Sala de lo Contencioso-Administrativo del Tribunal Superior de Justicia de Canarias en el procedimiento ordinario 50-2009.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8 de marzo de 2012, resolución impugnada en el presente recurso de amparo núm. 5927-2012.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8 de marzo de 2012, en el recurso de casación núm. 5537-2011 que ha sido impugnado en el presente recurso de amparo 5927-2012.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5927-2012,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