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24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de 9 de febrero de 2012 dictada por la Sección Primera de la Sala de lo Contencioso-Administrativo del Tribunal Supremo en recurso de revisión núm. 33-2010, interpuesto contra la Sentencia de 23 de octubre de 2009 dictada por la Sección Segunda de la Sala de lo Contencioso-Administrativo del Tribunal Superior de Justicia de Castilla y León en el recurso 109-2009.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23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la Sentencia de 9 de febrero de 2012, resolución impugnada en el presente recurso de amparo núm. 5764-2012.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la Sentencia de 9 de febrero de 2012 en el recurso de revisión núm. 33-2010, que ha sido impugnada en el presente recurso de amparo núm. 5764-2012.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5764-2012,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