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24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31 de mayo de 2012 dictado por la Sección Primera de la Sala de lo Contencioso-Administrativo del Tribunal Supremo en recurso de casación núm. 383-2012, interpuesto contra la Sentencia de 28 de octubre de 2011 dictada por la Sección Segunda de la Sala de lo Contencioso-Administrativo del Tribunal Superior de Justicia de Murcia en el recurso 127-2001.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23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31 de mayo de 2012, resolución impugnada en el presente recurso de amparo núm. 818-2013.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31 de mayo de 2012 en el recurso de casación núm. 383-2012, que ha sido impugnado en el presente recurso de amparo núm. 818-2013.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818-20013,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