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217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7 de octubre de 2013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29 de abril de 2013, la Procuradora de los Tribunales doña María Concepción Tejada Marcelino, en nombre y representación del Ayuntamiento de Azpeitia, interpuso demanda de amparo contra Auto del Pleno de la Sala Tercera del Tribunal Supremo en recurso de casación núm. 3678-2010.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17 de septiembre de 2013, el Magistrado Excmo. Sr. don Santiago Martínez-Vares García manifestó su voluntad de abstenerse en el presente recurso de amparo y todas sus incidencias, por entender que concurría la causa establecida en el art. 219.11 de la Ley Orgánica del Poder Judicial, supletoria de la Ley Orgánica 2/1979 (art. 80), al haber intervenido en instancia anterior en su condición de Magistrado de la Sala de lo Contencioso-Administrativo del Tribunal Supremo que dictó la resolución recurrida.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Santiago Martínez-Vares García,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 resolución impugnada en amparo, está incurso en la causa de abstención del párrafo 11 a)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el Magistrado Excmo. Sr. don Santiago Martínez-Vares García en el recurso de amparo núm. 2563-2013 y apartarle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siete de octubre de dos mil trece.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