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10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Auto de la Sala de lo Penal del Tribunal Supremo dictados en el recurso de casación núm. 10403-2012 interpuesto contra Auto de 8 de junio de 2011 dictado por la Sección Segunda de la Sala de lo Penal de la Audiencia Nacional en la ejecutoria 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7 de octubre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8 de junio de 2011 resolución de la que traen causa las impugnadas en el presente recurso de amparo núm. 261-2013.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(art.80), estima justificada la causa de abstención formulada, puesto que el mencionado Magistrado formó parte de la Sección Segunda de la Sala de lo Penal de la Audiencia Nacional que dictó el Auto de 8 de junio de 2011, en la ejecutoria 8-1996 de la que trae causa el Auto y providencia dictados por La Sala de lo Penal del Tribunal Supremo en el recurso de casación núm. 10403-2012 que han sido impugnados en el presente recurso de amparo 261-2013.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261-2013,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