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224</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14 de octubre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antes referido se impugna Sentencia de 18 de junio de 2013 dictada por la Sala de lo Penal del Tribunal Supremo en el recurso de casación núm. 1809-2012 interpuesto contra Sentencia de 17 de enero de 2012 de la Sección Segunda de la Sala de lo Penal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10 de octubre de 2013 el Magistrado don Enrique López y López comunicó a los efectos oportunos que se abstenía de intervenir en el antes indicado recurso de amparo, de conformidad con el art. 80 de la Ley Orgánica del Tribunal Constitucional, por haber formado parte de la Sección Segunda de la Sala de lo Penal de la Audiencia Nacional que dictó la Sentencia de 17 de enero de 2012 resolución de la que trae causa la impugnada en el presente recurso de amparo núm. 4447-2013.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Enrique López y López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Segunda de la Sala de lo Penal de la Audiencia Nacional que dictó la Sentencia de 17 de enero de 2012 de la que trae causa la Sentencia dictada por La Sala de lo Penal del Tribunal Supremo en el recurso de casación núm. 1809-2012 que ha sido impugnada en el presente recurso de amparo 4447-2013.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Enrique López y López en el recurso de amparo núm. 4447-2013,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octubre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