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16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abril de 2013, el Procurador de los Tribunales don Fernando Pérez Cruz, en nombre y representación de don Klaus Peter Schaak, y bajo la asistencia del Letrado don Antonio Pascual López, interpuso demanda de amparo contra el Auto de la Sala de lo Civil del Tribunal Supremo de 13 de noviembre de 2012, por el que se inadmite el recurso de casación núm. 404-2012, interpuesto contra la Sentencia de la Sección Novena de la Audiencia Provincial de Alicante de 2 de diciembre de 2011, dictada en el rollo de apelación núm. 284-2011, dando lugar al recurso de amparo núm. 2515-2013,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4 de octubre de 2013 el Magistrado don Juan Antonio Xiol Ríos comunicó su voluntad de abstenerse en el conocimiento del presente recurso de amparo por entender que concurría la causa 11 del art. 219 de la Ley Orgánica del Poder Judicial (LOPJ),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Juan Antonio Xiol Ríos en el recurso de amparo núm. 2515-2013 y apartarle definitivamente del conocimiento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