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230</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17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providencia y Sentencia dictadas por la Sección Primera de la Sala de lo Contencioso-Administrativo del Tribunal Supremo en recurso de casación núm. 1370-2011 interpuesto contra la Sentencia de 19 de enero de 2011 dictada por la Sección Segunda de la Sala de lo Contencioso-Administrativo de la Audiencia Nacional en el recurso 10-2008.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16 de octubre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9 de febrero de 2012, resolución impugnada en el presente recurso de amparo núm. 5479-2012.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Sala del Tribunal Constitucional, la Segunda,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9 de febrero de 2012 en el recurso de casación núm. 1370-2011, que ha sido impugnado en el presente recurso de amparo núm. 5479-2012.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 5479-2012,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