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2013, la Procuradora de los Tribunales doña Carmen Echevarría Terrosa, en nombre y representación de doña María del Carmen Pardo Pérez, interpuso demanda de amparo contra el Auto de la Sala de lo Civil del Tribunal Supremo de 9 de abril de 2013, por el que se inadmite el recurso de casación núm. 1593-2012, interpuesto contra la Sentencia de la Sección Tercera de la Audiencia Provincial de Valladolid de 24 de abril de 2012, dictada en el rollo de apelación núm. 560-2011, dando lugar al recurso de amparo núm. 2971-2013,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14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2971-2013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