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21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21 de junio de 2012 en el Registro General del Tribunal, don Rafal Díez Usabiaga interpuso recurso de amparo, registrado con el núm. 3794-2012, contra la Sentencia de la Sala de lo Penal del Tribunal Supremo recaída en el recurso de casación núm. 11773-2011, que fue formulado contra la Sentencia dictada por la Sección Cuarta de la Sala de lo Penal de la Audiencia Nacional en el rollo núm. 95-2009.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el Registro General de este Tribunal el 3 de septiembre de 2013, doña Ana Lobera Argüelles, Procuradora de los Tribunales y de don Rafael Díez Usabiaga, presentó un escrito solicitando la abstención, y en su defecto promoviendo la recusación, del Excmo. Sr. Presidente del Tribunal en el recurso de amparo núm. 3794-2012.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7 de octubre de 2013, la Sala Primera acordó, conforme a lo dispuesto en el art. 10.1 k) de la Ley Orgánica del Tribunal Constitucional, remitir al Pleno del Tribunal, el escrito de recusación para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indicado escrito se aduce la concurrencia de la causa de recusación 10 de las previstas en el art. 219 de la Ley Orgánica del Poder Judicial (LOPJ), en atención a que, según resulta de lo publicado en diversos medios de comunicación, el Excmo. Sr. Presidente del Tribunal estuvo afiliado al Partido Popular entre los años 2008 a 2011.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recusante, tras recordar la doctrina del Tribunal Europeo de Derechos Humanos y la jurisprudencia del Tribunal Constitucional sobre el derecho a un juez imparcial y a un proceso con todas las garantías, señala que el Excmo. Sr. Magistrado don Francisco Pérez de los Cobos Orihuel estaba afiliado al Partido Popular en el momento de ser elegido Magistrado del Tribunal Constitucional en diciembre de 2010, habiendo mantenido esa condición hasta fecha que se desconoce e ignorándose por tanto, si en la actualidad sigue siendo militante del citado partido político. Destaca también que es público y notorio, pero se ha acreditado igualmente a través de los datos recogidos en el escrito de recusación, que los dirigentes del Partido Popular y sus cargos institucionales han manifestado reiteradamente su opinión a favor de una condena penal, y de su cumplimiento íntegro, del recurrente en amparo. Continúa argumentado la parte recusante que los estatutos del Partido Popular, al igual que los de cualquier otra formación política, establecen una serie de obligaciones para sus militantes, entre las que se encuentran cumplir las instrucciones y directrices emanadas de sus órganos de gobierno y grupos institucionales [art. 7.1 b) de los estatutos]. Y no cabe duda, a su juicio, que el apoyo y respaldo a las condenas, entre otros del recurrente en amparo, dictadas en el sumario núm. 56-2009 del Juzgado Central de Instrucción núm. 5 (caso Beteragune) se configura como una clara directriz e instrucción del Partido Popular que han de cumplir y respetar todos sus militantes.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ello, afirma la parte recusante, que si bien no se puede concluir que el Magistrado recusado tenga un interés directo en la causa —ya que no se ventilan en ella asuntos que le afectan directa y especialmente, y ningún beneficio o perjuicio puede derivarse inmediatamente para él de la Sentencia que se dicte en su día—, sí puede afirmarse un interés en que la opinión del Partido Popular sobre el resultado final del proceso penal seguido contra el recurrente y otros se vea respaldada por la decisión que recaiga en el presente recurso de amparo como muestra de su lealtad al partido y a sus dirigentes.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juicio, no estamos ante un supuesto de mera afinidad ideológica, sino ante una afiliación a un partido político que entraña la aceptación de unas jerarquías y directrices reflejadas en sus estatutos; no se trata de despojar a los Magistrados de toda afinidad ideológica, sino de extremar el rigor y ofrecer en caso de duda, la interpretación más favorable a la imparcialidad. Por todo ello, considera que, dada la virtualidad que tiene siempre la apariencia de imparcialidad, ha de concluirse que la imagen y posible pérdida de imparcialidad que se plantea se halle en este caso objetiva, suficiente y legítimamente justificada, por lo que conforme a los arts. 24.2 CE y 6.1 del Convenio europeo para la protección de los derechos humanos y de las libertades fundamentales, y el art. 219.10 LOPJ procede la recusación.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don Rafael Díez Usabiaga solicita la abstención, y en su defecto promueve la recusación, del Magistrado de este Tribunal Constitucional Sr. Pérez de los Cobos, quien en la actualidad desempeña el cargo de Presidente, al apreciar que concurre en él, la causa 10 (tener interés directo o indirecto en el pleito o causa) de las previstas en el art. 219 de la Ley Orgánica del Poder Judicial (LOPJ), cuya aplicación a los Magistrados constitucionales viene propiciada por el art. 80 de la Ley Orgánica del Tribunal Constitucional (LOTC). Debe señalarse que siendo la abstención una actuación procesal cuya realización compete exclusivamente a la iniciativa del Magistrado que se considere incurso en alguna de las causas legales establecidas al efecto, sólo cabe valorar el escrito presentado desde su vertiente de pretensión recusatoria.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presupuestos procesales de admisibilidad de la recusación, debe recordarse que, tal y como establece el primer párrafo del art. 223.1 LOPJ, “la recusación deberá proponerse tan pronto como se tenga conocimiento de la causa en que se funde, pues, en otro caso, no se admitirá a trámite”. Tan inequívoco aserto establece una causa de inadmisión a limine, cuya razón legal está inspirada en evitar que la posibilidad de recusación de cualquier juez llegue a convertirse en una suerte de amenaza o presión para el juzgador, erigiéndose en un instrumento que la parte pudiera interesar a su conveniencia, sine die, amparado en la indeterminación —o difícil probanza— del momento de la citada toma de conocimiento [ATC 180/2013, de 17 de septiembre,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Concretamente, la parte recurrente expone que la noticia se publicó el pasado 18 de julio del presente año en diferentes medios de comunicación, y, como ha quedado reflejado en los antecedentes de esta resolución, el escrito promoviendo la recusación ha sido presentado el 3 de septiembre de 2013. Han transcurrido, por tanto, once días hábiles (cuarenta y siete días naturales) desde que el recusante tomó conocimiento de los hechos hasta que promovió el incidente de recusación; de acuerdo con la interpretación que la STC 88/2013, de 11 de abril, FJ 3, realizó del art. 85.2 LOTC, debe considerarse que el escrito ha sido presentado dentro del plazo fijado en el art. 223.1 LOPJ, que por vía de analogía resulta de aplicación al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cuanto antecede, debe advertirse que el escrito de recusación recoge hechos y fundamentos legales que ya han sido examinados por el Pleno de este Tribunal en el reciente ATC 180/2013, de 17 de septiembre, en el que se recuerda que la Constitución no prohíbe a los Magistrados constitucionales la afiliación a partidos políticos o sindicatos sino que tan solo establece que la condición de miembro del Tribunal Constitucional es incompatible con el desempeño de funciones directivas en un partido político o en un sindicato y con el empleo al servicio de los mismos (arts. 159.4 CE y 19.1.6 LOTC); regulación equiparable en este punto a las de Alemania (art. 18.2 de la Ley del Tribunal Constitucional Federal, de 12 de marzo de 1951), Italia (Ley de 11 de marzo de 1953), Francia (art. 2 del Decreto núm. 59-1292, de 13 de noviembre de 1959) o Portugal (arts. 28 y 29.2 de la Ley 28/1982, de 15 de noviembre).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criterio, afirmado ya en el ATC 226/1988, de 16 de febrero, FJ 3, es coincidente con la jurisprudencia del Tribunal Europeo de Derechos Humanos, que en la STEDH de 22 junio de 2004, caso Pabla Ky c. Finlandia, ha tenido la oportunidad de señalar que la afiliación política de los miembros de los Tribunales no afecta por sí misma a su imparcialidad si no guarda conexión o vínculo con las partes en el procedimiento o con la sustancia del litigio (§ 33), excluyendo así la vulneración del art. 6.1 del Convenio (§ 35). Del mismo modo, “conforme a nuestra Constitución, la mera afiliación a los partidos políticos es un derecho del que no están privados los Magistrados constitucionales [y] no cabe asociar a su ejercicio consecuencias automáticas que afecten a su idoneidad para el desempeño de su función” (ATC 180/2013, de 17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Igualmente debemos dar por reproducida nuestra doctrina sobre la garantía y el deber de imparcialidad de los Magistrados constitucionales contenida en el fundamento jurídico 2 del mencionado ATC 180/2013, de 17 de septiembre, importando ahora tan solo destacar que, concretamente, por lo que se refiere a la causa de recusación establecida en el art. 219.10 LOPJ, consistente en “tener interés directo o indirecto en el pleito o causa”, ha de tratarse de un interés singularizado en relación con el concreto proceso en que se plantee la recusación (ATC 26/2007, de 5 de febrero, FJ 7) y actual, esto es, concurrente en el momento en que se promueve el apartamiento del Magistrado mediante su recusación.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se cumplen tales condiciones. En particular no se hace en el escrito de recusación ningún esfuerzo argumental para individualizar el supuesto beneficio o ventaja que para el Magistrado Sr. Pérez de los Cobos se derivaría del resultado del presente recurso de amparo, siendo doctrina consolidada de este Tribunal, que arranca del ATC 109/1981, de 30 de octubre, que para que una solicitud de recusación pueda ser admitida es requisito imprescindible que el escrito en que se formule exprese, concreta y claramente, una causa de recusación de las previstas legalmente, con expresión de los motivos en que se funda, pero también acompañando un principio de prueba sobre los mismos, en este caso sobre el concreto beneficio resultante para el Magistrado recusado (entre otros, AATC 126/2008, de 14 de mayo, FJ 2; 351/2008, de 4 de noviembre, FJ 2; y 40/2011, de 12 de abril,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promovida por don Rafael Díez Usabiaga en el recurso de amparo núm. 3794-2012.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Luis Ignacio Ortega Álvarez al Auto del Pleno que inadmite a trámite el incidente de recusación promovido por don Rafael Díez Usabiaga en el asunto 3794-2012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al sentir de la mayoría del Tribunal, expreso mi discrepancia con el fallo y la fundamentación jurídica del Auto de referencia remitiéndome a lo ya manifestado en el Voto particular que formulé al ATC 180/2013, de 17 de septiembre, que inadmitió a trámite anteriores incidentes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octubre de dos mil trece.ón.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