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258</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7 de noviembre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Auto y providencia dictados por la Sección Primera de la Sala de lo Contencioso-Administrativo del Tribunal Supremo en el recurso de casación núm. 2933-2010 interpuesto contra la Sentencia de 15 de abril de 2010 dictada por la Sección Segunda de la Sala de lo Contencioso-Administrativo de la Audiencia Nacional en el procedimiento ordinario 439-2007.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30 de octubre de 2013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10 de noviembre de 2011, resolución impugnada en el presente recurso de amparo núm. 5157-2012.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esta Sala del Tribunal Constitucional, la Sala,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10 de noviembre de 2011 en el recurso de casación núm. 2933-2010, que ha sido impugnado en el presente recurso de amparo núm. 5157-2012.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José González Rivas en el recurso de amparo núm. 5157-2012,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