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18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9 de mayo de 2013, don Enol Suárez Martínez interpuso recurso de amparo frente al Auto de la Sección Octava de la Audiencia Provincial de Asturias dictado en la ejecutoria núm. 67-2006.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Juzgado de Instrucción núm. 1 de Gijón se incoó el procedimiento abreviado núm. 130-2005, por delito contra la salud pública, contra el ahora demandante y otro imputado, cuyo enjuiciamiento correspondió a la Sección Octava de la Audiencia Provincial de Asturias, que, en fecha 17 de julio de 2006, dictó Sentencia en la que, entre otros pronunciamientos condenó a don Enol Suárez Martínez, como autor de un delito contra la salud pública, un delito de atentado y una falta de lesiones; por el delito contra la salud pública a la pena de tres años de prisión y multa de 951,25 €; por el delito de atentado a la pena de un año de prisión, inhabilitación para el derecho de sufragio durante el tiempo de la condena; y por la falta de lesiones la pena de un mes de multa, con una cuota diaria de 3 euros, debiendo indemnizar al agente policial lesionado en determinada cantidad por las lesiones sufridas con los intereses legales. Dicha Sentencia adquirió firmeza por Auto de fecha 27 de julio de 2006, incoándose la ejecutoria 67-2006.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fecha 23 de noviembre de 2006, dictado por la Sección Octava de la Audiencia Provincial de Gijón, se concedió al señor Suárez Martínez la suspensión condicional por cuatro años de las penas de tres años y de un año de prisión impuestas en la causa, con la condición de que no volviese a delinquir en dicho plazo, resolución que le fue notificada el 7 de julio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fecha 18 de julio de 2012, dictado por el mismo órgano judicial se acordó revocar la suspensión condicional de las penas impuestas al demandante, al constar en su hoja histórico-personal, que durante el tiempo de suspensión había sido condenado por Sentencia firme de 12 de enero de 2009 por delitos de lesiones, allanamiento de morada y coacciones cometidas el 29 de julio de 2008, amén de otras condenas posteriores por Sentencias firmes de 18 de enero de 2011, 28 de junio de 2011 y 30 de enero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fechado el 30 de enero de 2013, el recurrente solicitó a la Sala que se acordase la prescripción de las penas impuestas en aplicación de lo dispuesto en el art. 133 del  Código penal (CP), aduciendo en su apoyo la STC 97/2010. Dicha petición fue desestimada por Auto de fecha 20 de febrero de 2013, dictado por la Sección Octava de la Audiencia Provincial de Asturias con sede en Gijón. Dicho Auto fue recurrido en súplica por el penado, ahora demandante, siendo desestimado el recurso por Auto de fecha 18 de marzo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9 de mayo de 2013, don Enol Suárez Martínez presentó demanda de amparo contra los Autos de 20 de febrero y 18 de marzo de 2013, por vulneración del derecho a la tutela judicial efectiva del art. 24.1, en relación con el derecho a la libertad art. 17.1 y a la legalidad penal del art. 25.1, todos ellos de la Constitución. Solicitaba la suspensión cautelar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21 de octubre de 2013, de la Sala Primera del Tribunal Constitucional acordó admitir a trámite el presente recurso de amparo; mediante providencia de igual fecha se acordó formar la correspondiente pieza separada de suspensión y de conformidad con el art. 56 de la Ley Orgánica del Tribunal Constitucional conceder un plazo común de tres días a la parte recurrente y al Ministerio Fiscal para que alegaran lo que estimaran pertinente en relación a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28 de octubre de 2013,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5 de noviembre de 2013, el Ministerio Fiscal pide que se otorgue la suspensión solicitada. Considera que las penas privativas de libertad impuestas al ahora solicitante tienen una duración total de 4 años, lo que según anterior doctrina del Tribunal Constitucional se encuentra dentro de los límites para acceder a su suspensión dada su naturaleza de pena menos grave (art. 33 CP). Por otra parte dada la fecha en que sucedieron los hechos objeto de enjuiciamiento, el día 4 de julio de 2004, no parece concurrir ningún supuesto excepcional que desaconseje dicha suspensión, ni por la trascendencia social ni por posible desprotección de la víctima. En cambio, de no accederse a la suspensión, dado el tiempo que puede consumirse en la tramitación de un proceso como el presente, no cabe descartarse que los efectos del posible otorgamiento del amparo se tornasen en ilusorios al encontrarse parcial o totalmente extinguida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suspensión, de conformidad a la inconcusa doctrina de ese Tribunal debe extenderse a las penas inhabilitativas, accesorias, al deber seguir las mismas la suerte de la principal.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mantenida por este Tribunal, en relación a la suspensión de las penas de prisión,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de 12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circunstancias todas ellas que expresan la reprobación que el Ordenamiento asigna al hecho delictivo y, por consiguiente, la magnitud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ponderación que debe realizarse no puede limitarse a la duración de la pena privativa de libertad a la que el recurrente ha sido condenado; si fuera así, podría considerarse la suspensión cautelar de la misma. Sin embargo, como ha puesto de manifiesto el órgano judicial en las resoluciones impugnadas, la peculiaridad del presente supuesto reside en que al recurrente se la ha revocado la remisión condicional de dicha pena por haber delinquido, reiteradamente, durante el periodo de remisión. Esta circunstancia añade un importante elemento en la ponderación que este Tribunal debe realizar a la hora de decidir sobre la medida cautelar solicitada. El hecho de que el recurrente haya sido condenado por la comisión de otros delitos diferentes al castigado en el presente recurso de amparo, supone que, sin perjuicio de la duración de la pena cuya suspensión se pide, el interés general se pueda ver perjudicado si se accediere a la suspensión al haber mostrado el solicitante una conducta claramente antisocial.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Enol Suárez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