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abril de 2013, la Procuradora de los Tribunales doña Rosalia Rosique Samper, en nombre y representación de don José María Casabuberta Llacer, y bajo la asistencia del Letrado don Jordi Flores i Soler, interpuso demanda de amparo contra el Auto de la Sala de lo Civil del Tribunal Supremo de 19 de febrero de 2013, por el que se desestima el recurso de queja núm. 393-2012, interpuesto contra el Auto de la Sección Decimocuarta de la Audiencia Provincial de Barcelona de 23 de octubre de 2012, dictado en el rollo de apelación núm. 567-2011, dando lugar al recurso de amparo núm. 2110-2013, sobre cuya admisibilidad debe conocer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18 de noviembre de 2013 el Magistrado don Juan Antonio Xiol Ríos comunicó su voluntad de abstenerse en el conocimiento del presente recurso de amparo por entender que concurría la causa 11 del art. 219 de la Ley Orgánica del Poder Judicial, por haber formado parte, en su condición de Magistrado de la Sala de lo Civil del Tribunal Supremo, del órgano judicial que acordó la resolución impugnada en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	Estimar justificada la abstención formulada por el Magistrado don Juan Antonio Xiol Ríos en el recurso de amparo núm. 2110-2013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