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29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abril de 2013, el Procurador de los Tribunales don Miguel Ángel Castillo Sánchez, en nombre y representación de la Caja General de Ahorros de Granada, S.A., y Banco Mare Nostrum, S.A., interpuso demanda de amparo contra la providencia de la Sala de lo Civil del Tribunal Supremo de 26 de febrero de 2013, por el que se inadmite el incidente de nulidad de actuaciones contra el Auto de 20 de noviembre de 2012, por el que se inadmite el recurso de casación núm. 2555-2011,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16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2612-2013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