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enero de 2013, el Procurador de los Tribunales don Roberto P. Granizo Palomeque, en nombre y representación de la Confederación de Consumidores y Usuarios (CECU), Asociación General de Consumidores (ASGECO-CONFEDERACIÓN), Unión de Consumidores y Usuarios (OCU), Federación de Usuarios, Consumidores Independientes (FUCI) y Confederación Española de Organizaciones de Amas de Casa, Consumidores y Usuarios (CEACCU), y bajo la dirección del Letrado don Leopoldo Torres Boursault, interpuso demanda de amparo contra la Sentencia de la Sección Cuarta de la Sala de lo Contencioso-Administrativo del Tribunal Supremo en recurso de casación núm. 2218-2012 contra la dictada por la Sección Cuarta de la Sala de igual orden de la Audiencia Nacional en los recursos núms. 6-2011 y 26-2011.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febrero de 2014,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formó parte en su condición de Magistrado de la Sección Cuarta de la Sala Tercera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Santiago Martínez-Vares García en el recurso de amparo núm. 444-2013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