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10 de julio de 2013, al que se acompaña testimonio del Auto de 4 de abril de 2013, dictado en el procedimiento abreviado núm. 242-2012, el Juzgado de lo Contencioso-Administrativo núm. 3 de Vitoria plantea cuestión de inconstitucionalidad en relación con el art. 67.2 a) del Real Decreto Legislativo 339/1990, de 2 de marzo, por el que se aprueba el texto articulado de la Ley de tráfico, circulación de vehículos a motor y seguridad vial, en la redacción dada por la Ley 18/2009, de 23 de noviembre,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dispuesto anteriormente, en la imposición de sanciones deberá tenerse en cuenta que: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multa por la infracción prevista en el art. 65.5 j) será el doble de la prevista para la infracción originaria que la motivó, si es infracción leve, y el triple, si es infracción grave o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65.5 j), por su parte, dispone:</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“Son infracciones muy graves, cuando no sean constitutivas de delito, las siguientes conductas: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incumplimiento por el titular o el arrendatario del vehículo con el que se haya cometido la infracción de la obligación de identificar verazmente al conductor responsable de dicha infracción, cuando sean debidamente requeridos para ello en el plazo establecido. En el supuesto de las empresas de alquiler de vehículos sin conductor, la obligación de identificar se ajustará a las previsiones al respecto del art. 9 bis.”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Rafael Llavador Romero interpuso recurso contencioso-administrativo, seguido por el trámite del procedimiento abreviado, contra la resolución del Jefe provincial de Tráfico de Valladolid de 13 de abril de 2012, que desestimaba el recurso de reposición presentado frente a la resolución de 20 de febrero de 2012 del director del centro de tratamiento de denuncias automatizadas, que imponía al recurrente una sanción de 900 €. Esta última resolución fue dictada en el expediente sancionador número 47-945.142.539/0, tramitado por la infracción consistente en “no facilitar el titular o arrendatario del vehículo, debidamente requerido para ello, la identificación veraz del conductor del mismo en el momento de ser cometida una infracción”.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alegaba: i) que nunca recibió notificación fehaciente sobre la supuesta infracción y menos aún sobre el inicio del procedimiento sancionador; ii) que la vulneración de derechos fundamentales y la infracción de los principios que rigen la potestad sancionadora, las normas del procedimiento administrativo y los principios reguladores en materia de tráfico, circulación de vehículos a motor y seguridad vial, tuvieron lugar por la falta de audiencia en el expediente administrativo sancionador para la identificación del conductor del vehículo. Así, ni pudo conocerse la acusación formulada ni hubo oportunidad de defensa; garantías que no pueden entenderse subsanadas por la posibilidad de alegar, proponer y practicar prueba en el recurso contencioso-administrativo, ya que, conforme dispone el Tribunal Constitucional, rigen en el propio procedimiento administrativo sancionador; iii) que sufrió asimismo el principio de tipicidad, ligado indisolublemente con el principio de seguridad jurídica del art. 9.3 CE, pues se impuso una sanción por un hecho no constitutivo de infracción administrativa; iv) que, en su defecto, la graduación de la sanción no se corresponde con los criterios legales establecidos; v) que diversas previsiones normativas resultaron desatendidas: arts. 80 y 130 de la Ley 30/1992, de 26 noviembre, que establece que únicamente pueden ser sancionadas por hechos constitutivos de infracción administrativa las personas físicas y jurídicas que resulten responsables de los mismos; art. 69 del Real Decreto Legislativo 339/1990, de 2 marzo, que dispone que la responsabilidad por las infracciones recaerá directamente en el autor del hecho; y, asimismo, los arts. 12 y 13 del Real Decreto 320/1994, de 25 febrero, del Reglamento del procedimiento sancionador en materia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3 de Vitoria, mediante providencia de 21 de febrero de 2013, acordó abrir el trámite previsto en el 35.2 de la Ley Orgánica del Tribunal Constitucional (LOTC), oyendo a las partes y al Ministerio Fiscal sobre la pertinencia de plantear cuestión de inconstitucionalidad acerca de la “Posible inconstitucionalidad del artículo 67.2 a) de la Ley de Tráfico circulación de vehículos a motor y seguridad vial (aprobada por Real Decreto Legislativo 339/1990, de 2 de marzo), según redacción dada por Ley 18/2009, de 23 de noviembre, que dispone: ‘La multa por la Infracción prevista en el artículo 65.5 j) será el doble de la prevista para la infracción originarla que la motivó, si es infracción leve, y el triple, si es infracción grave o muy grave’.” En consecuencia —añadía a la identificación la previsión legal cuestionada—, “el precepto transcrito establece una sanción económica para el titular del vehículo que varía en función de la acción (conducta) del autor de la infracción originaria que dio lugar a la primera denuncia (exceso de velocidad)”.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Abogacía del Estado se opuso al planteamiento de la cuestión de inconstitucionalidad, alegando que la providencia de 21 de febrero de 2013 no determinó ni siquiera relativamente el precepto o preceptos constitucionales cuya presunta vulneración motivaría la elevación de la cuestión a este Tribunal. No formulaba, por ello, alegaciones de fondo. El Ministerio Fiscal, en cambio, manifestó su conformidad con el planteamiento de la cuestión de inconstitucionalidad, al depender del precepto de referencia la solución del caso. La parte actora no formuló alegaciones.</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 El 4 de abril de 2013, se dictó Auto promoviendo la cuestión de inconstitucionalidad. En relación con la objeción de la Abogacía del Estado, admitía el juzgador que en la providencia de 21 de febrero de 2013 no se concretó el precepto constitucional que se reputa infringido. Sin embargo, ese hecho no puede ser óbice para el planteamiento de la cuestión de inconstitucionalidad, al ser exigible dicha concreción en el Auto de planteamiento y no en la fase de audiencia previa a las partes. Por otro lado, añade, tratándose de una sanción de tráfico, únicamente podía estar a debate la adecuación constitucional del precepto al art. 25.1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Resalta que la sanción prevista en el artículo 67.2 a) por el incumplimiento del deber de identificar al conductor responsable de la infracción de tráfico se determina en la norma en función de la conducta del primer infractor, esto es, del que cometió la falta de conducción que dio origen a la apertura de expediente sancionador. Se olvida con ello, a su juicio, que concurren dos infracciones distintas, autónomas e independientes: la cometida por el conductor del vehículo y la que se imputa, por no colaborar con la Administración, al titular del vehículo. Considera “que esta forma de castigar al titular del vehículo, variable en función de la acción o la conducta del conductor no es ajustada al artículo 25.1 de la Constitución, por ser contraria a la idea o principio de responsabilidad/culpabilidad inherente al uso de la potestad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del deber de identificar al conductor responsable es una omisión de una obligación que no admite graduación, pues incumple quien no identifica, sin que el grado o gravedad de la infracción cometida por el conductor deba influir o afectar en la determinación de la sanción cometida por el titular del vehículo que no procede a su identificación. El precepto, por consiguiente, es contrario al art. 25.1 CE, toda vez que “el castigo no puede variar en función de una conducta, una acción, o una culpabilidad que no pertenece al sancionado por no identificar al conductor, sino que es responsabilidad del conductor mismo. Siendo dos infracciones distintas y autónomas, el artículo castiga a un sujeto por la conducta del otro sujeto”.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previsión normativa cuestionada, prosigue después, dispone una sanción para el titular del vehículo del doble de la prevista para la infracción cometida por el conductor, e incluso del triple para los casos de infracciones graves y muy graves, suscitando también desde ese prisma dudas de constitucionalidad. El incumplimiento de un deber de colaborar con las autoridades administrativas de tráfico no puede ser sancionado con el triple que una infracción en el ejercicio de la conducción (una acción que por regla general afecta a la seguridad y al riesgo de la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5 de noviembre de 2013,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23 de diciembre de 2013, el Fiscal General del Estado solicita la inadmisión de la cuestión de inconstitucionalidad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Deficiencias esenciales en el trámite de la providencia de 21 de febrero de 2013, que  no identificó el precepto constitucional concernido. Esa circunstancia, a su criterio, tiene singular relevancia, particularmente porque el demandante, respecto de la infracción y sanción, aludía a numerosos artículos de la Constitución, no sólo el art. 25.1 CE, y en relación con este último, además, porque en él se integran plurales perspectivas (reserva de ley formal, material, analogía, tipicidad, taxatividad, non bis in ídem, proporcionalidad, etc.), de suerte que era necesario precisar la que constituía el fundamento de la duda de constitucionalidad. La circunstancia descrita, en suma, impidió que el trámite de audiencia cumpliese la finalidad que le es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concurre una adecuada formulación del juicio de relevancia, al no razonarse en qué medida la cuestión planteada en el proceso contencioso de origen requiere un pronunciamiento por parte del Tribunal Constitucional sobre el sistema de cuantificación de la sanción y su falta de proporcionalidad.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problemática de fondo, entiende que se cumplen los criterios de proporcionalidad y que el importe de la sanción pecuniaria por la infracción del art. 65.5 j) no se cuantifica en función de la actividad y la culpabilidad del conductor de la infracción originaria. Resulta, por el contrario, que su determinación responde al parámetro de cuantificación de ésta, sin que de ello se derive influencia alguna de la culpabilidad del conductor sobre la responsabilidad del titular del vehículo.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el Fiscal General del Estado solicita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planteada por el Juzgado de lo Contencioso-Administrativo núm. 3 de Vitoria, mediante Auto de 4 de abril de 2013, tiene por objeto el art. 67.2 a) del Real Decreto Legislativo 339/1990, de 2 de marzo, por el que se aprueba el texto articulado de la Ley sobre tráfico, circulación de vehículos a motor y seguridad vial, en la redacción dada por la Ley 18/2009, de 23 de noviembre, ante su posible contradicción con el 25.1 C. Tanto el precepto cuestionado como el art. 65.5 j) de la misma norma han sido transcritos en los antecedentes del presente Auto, no siendo necesario pues volver a reproducirlos.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de esta resolución, se opone a la admisión a trámite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según lo dispuesto en el art. 37.1 de la Ley Orgánica del Tribunal Constitucional (LOTC), este Tribunal puede rechazar en trámite de admisión y mediante Auto aquellas cuestiones de inconstitucionalidad que no satisfagan los necesarios requisitos procesales, tal y como ocurre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puesto de manifiesto nuestra jurisprudencia que la importancia de la audiencia del art. 35.2 LOTC no puede minimizarse, reduciéndola a un simple trámite carente de más trascendencia que la de su obligatoria concesión, cualesquiera que sean los términos en los que ésta se acuerde. Por el contrario, resulta inexcusable que en él se identifiquen con precisión tanto los preceptos legales sobre cuya constitucionalidad se albergan dudas como las normas de la Constitución que se consideren vulneradas. A este respecto, la reciente STC 222/2012, de 27 de noviembre, FJ 3, recordaba la importancia que tienen esos defectos de identificación en el trámite de audiencia.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“Mayor relevancia indudablemente tiene la ausencia, en las providencias por las que se confirió trámite de alegaciones al Ministerio Fiscal y a la parte requirente, de toda referencia a precepto constitucional alguno que el promotor de la cuestión de inconstitucionalidad estime que haya podido quedar vulnerado por la disposición controvertida. Ciertamente y, de acuerdo con la jurisprudencia de este Tribunal, una omisión como la expuesta puede enervarse si de la redacción de la providencia cabe deducir los motivos que conducen al juzgador a dudar de la inconstitucionalidad de una norma: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 (STC 166/2007, de 4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ese criterio de la indeterminación relativa hemos dado validez, por ejemplo, a providencias que, en el citado trámite de audiencia, no identificaban específicamente los preceptos constitucionales supuestamente vulnerados pero invocaban Sentencias de este Tribunal que permitieron a las partes conocer la cuestión debatida (así, STC 121/2010, de 29 de noviembre, FJ 4). Por la misma razón, en cambio, no hemos considerado ajustadas al debido trámite providencias que podían generar incertidumbre o incluso llevar a las partes a argumentar sobre previsiones constitucionales distintas a los invocadas posteriormente en el Auto de planteamiento (STC 222/2012, FJ 3); las que no identificaron mínimamente la duda de constitucionalidad que albergaba el órgano judicial o las que se conformaron con la mera remisión tácita al escrito de una de las partes en el proceso (STC 166/2007, de 4 de julio, FJ 6); como igualmente, cerrando esta breve lista de ejemplos, los supuestos en los que el órgano judicial se limita a poner de manifiesto la posible inconstitucionalidad por motivos que no precisa (STC 312/2006, de 8 de noviembre, FJ 3). En suma, se incumple el requisito cuando no se desprende con claridad de la providencia la concreta duda de constitucionalidad que motiva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ausencia en la providencia de 21 de febrero de 2013 de datos que permitieran conocer en qué específicos aspectos fundaba el promotor de la cuestión su iniciativa de planteamiento, incluso en qué preceptos constitucionales podía quedar la misma encuadrada, impidió a las partes situar el debate en sus términos exactos.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reflejó en los antecedentes de esta resolución, parecería refrendar la conclusión anterior la manifestación contundente de la Abogacía del Estado en su escrito de alegaciones en el trámite, registrado en el Juzgado el día 14 de marzo de 2013. Cabe aludir, del mismo modo, a las alegaciones del Ministerio Fiscal, que no revelan que la indeterminación de la providencia fuera salvable, ya que su escrito no entró en el fondo de la cuestión ni citó siquiera el art. 25.1 CE. Finalmente, es también destacable que la parte actora no presentase alegaciones, hecho que en sí mismo ni acredita ni excluye la indeterminación indicada, pues pudo deberse simplemente a una conducta procesal pasiva, pero que no deja de ser llamativo si tenemos en cuenta la precariedad del proveído.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necesidad de insistir en esos elementos, procederá recordar que la providencia de 21 de febrero, además de identificar la norma cuestionada, afirmaba que “el precepto trascrito establece una sanción económica para el titular del vehículo que varía en función de la acción (conducta) del autor de la infracción originaria que dio lugar a la primera denuncia (exceso de velocidad)”, sin añadido alguno. De tal enunciado, como bien apunta el Fiscal General del Estado en el trámite de alegaciones ante este Tribunal, no podían inferirse las concretas dudas que asaltaban al juzgador desde el prisma del art. 25.1 CE, pues tal precepto integra diversos contenidos y garantías, no habiéndose señalado las específicamente comprometidas en opinión del juzgador hasta el Auto de planteamiento de la cuestión de inconstitucionalidad: proporcionalidad en la graduación de las sanciones; proporcionalidad de la sanción por la falta de colaboración con la Administración en contraste con la prevista para la infracción de tráfico de la que trae fuente; y, adicionalmente, principio de culpabilidad–responsabilidad por el hecho cometido por un tercero. Por lo demás, es prueba suplementaria de su insuficiencia que, formulada la providencia en los términos transcritos, podrían haberse situado las dudas de inconstitucionalidad en preceptos de la Constitución distintos a los contenidos en el Auto de 4 de abril (siquiera adicionalmente, en particular en el art. 14 CE, en tanto que aquélla se enunciaba en términos de contraste con otras situaciones, según cual fuera la infracción de tráfico cometida).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dijera nuestra STC 121/2010, de 29 de noviembre, es decisivo que las partes hayan podido conocer el planteamiento de inconstitucionalidad realizado por el órgano judicial, y, atendiendo a las circunstancias del caso, situarlo en sus exactos términos constitucionales y pronunciarse sobre él. Desde ese prisma y por lo hasta aquí razonado, procede la inadmisión a limine de la cuestión de inconstitucionalidad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 núm. 4293-2013.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