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5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julio de 2009, la Procuradora de los Tribunales doña Marta Saint-Aubin Alonso, en nombre y representación de don Miguel Villacampa Villacampa, y bajo la asistencia del Letrado don Santiago Carretero Sánchez, interpuso demanda de amparo contra la Sentencia de la Sala de lo Civil del Tribunal Supremo de 14 de noviembre de 2008 —aclarada por Auto de 4 de diciembre de 2008— en el recurso de casación núm. 1903-1999, dando lugar al recurso de amparo núm. 1150-2009, sobre cuya admisibilidad debió conocer la Sección Primera de este Tribunal que lo inadmitió por providencia de 7 de abril de 2010, a pesar de lo cual se han reiterado sucesivos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29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resolvió sobre la admisibilidad del recurso de casación núm. 1903-1999, en que se acordó la resolución judicial impugnada en el presente recurso de amparo, dictando el Auto de 17 de junio de 2008.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decidió sobre la admisibilidad del recurso de casación que ha dado lugar a la resolución impugnada en este recurso de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1150-2009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