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74</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19 de marzo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Sentencia de la Sección Séptima de la Sala de lo Contencioso-Administrativo del Tribunal Supremo dictada el 6 de mayo de 2010 en el recurso de casación núm. 6268-2009 interpuesto contra Sentencia de la Sección Tercera de la Sala de lo Contencioso-Administrativo del Tribunal Superior de Justicia de Castilla y León de fecha 1 de octubre de 2009 recaída en el recurso contencioso-administrativo núm. 2358-2008.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19 de marzo de 2014 el Magistrado don Juan José González Rivas comunicó a los efectos oportunos que se abstenía de intervenir en el antes indicado recurso de amparo, de conformidad con el art. 80 de la Ley Orgánica del Tribunal Constitucional, por haber formado parte de la Sección Séptima de la Sala de lo Contencioso-Administrativo del Tribunal Supremo, que dictó la Sentencia de 6 de mayo de 2010 en el recurso de casación núm. 6268-2009, resolución recurrida en el presente recurso de amparo núm. 4915-2010.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esta Sala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 la Sección Séptima de la Sala de lo Contencioso-Administrativo del Tribunal Supremo que dictó la Sentencia de 6 de mayo de 2010 en el recurso de casación núm. 6268-2009 que ha sido impugnado en el presente recurso de amparo núm. 4915-2010.</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José González Rivas en el recurso de amparo núm.4915-2010,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marzo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