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impugnan Auto y Sentencia de la Sección Cuarta de la Sala de lo Contencioso-Administrativo del Tribunal Supremo dictados el 28 y 8 de marzo de 2011 respectivamente en el recurso de casación núm. 4552-2009 interpuesto contra Sentencia de la Sección Tercera de la Sala de lo Contencioso-Administrativo del Tribunal Superior de Justicia de Andalucía de fecha 21 de mayo de 2009 recaída en el recurso contencioso-administrativo núm. 863-2007.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de lo Contencioso-Administrativo del Tribunal Supremo, que dictó la Sentencia y el Auto de 8 y 28 de marzo de 2011, respectivamente, en el recurso de casación núm. 4552-2009, resoluciones recurridas en el presente recurso de amparo núm. 2996-2011.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de lo Contencioso-Administrativo del Tribunal Supremo que dictó la Sentencia y el Auto de 8 y 28 de marzo de 2011, respectivamente, en el recurso de casación núm. 4552-2009 que han sido impugnados en el presente recurso de amparo núm. 2996-2011.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2996-2011,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