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27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mayo de 2013, el Procurador de los Tribunales don Jorge Deleito García, en nombre y representación de don Javier Ruiz Benítez de Lugo Parejo, y bajo la dirección del Letrado don Víctor Moreno Catena, interpuso recurso de amparo contra la Sentencia de 11 de abril de 2013 dictada por la Sección Quinta de la Audiencia Provincial de Santa Cruz de Tenerife (rollo 72-2012), recaída en recurso de apelación interpuesto contra Sentencia dictada con fecha de 13 de abril de 2011, que fue aclarada por Auto de fecha 26 de abril de 2011, por el Juzgado de lo Penal núm. 3 de la misma ciudad, en el procedimiento abreviado 346-2010, dimanante del Juzgado de Instrucción núm. 3, también de Santa Cruz de Tenerife (diligencias previas 3702-2006).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dictada por la Sección Quinta de la Audiencia Provincial de Santa Cruz de Tenerife, estimó parcialmente el recurso de apelación dejando sin efecto la condena impuesta a dicho recurrente por el delito de omisión del deber de socorro y desestimó en todo lo demás el recurso de apelación, manteniéndose los pronunciamientos de la Sentencia recurrida, con relación a este acusado. La Sentencia del Juzgado de lo Penal núm. 3 de Santa Cruz de Tenerife condenó al recurrente por un delito de conducción temeraria en concurso legal ex art. 383 del Código penal (según redacción anterior a la dada por la Ley Orgánica 15/2007) con tres delitos de homicidio por imprudencia grave cometidos utilizando vehículo de motor, no concurriendo circunstancia modificativa alguna de la responsabilidad criminal, a tres años y tres meses de prisión, con la accesoria de inhabilitación especial para el ejercicio del derecho de sufragio pasivo durante el tiempo de la condena, así como a la pena principal de cinco años y nueve meses de privación del derecho de conducir vehículos a motor y ciclomotores, además de los pronunciamientos en cuanto a la responsabilidad civil y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ex art. 56.2 de la Ley Orgánica del Tribunal Constitucional, la suspensión de la ejecución de la Sentencia respecto a la pena privativa de libertad de tres años y tres meses y de su accesoria, dado que de no producirse la solicitada suspensión el amparo perdería su finalidad constitucional, causando al recurrente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jurisprudencia del Tribunal Constitucional, se hace referencia a las circunstancias personales del recurrente que deben ser tenidas en cuenta en orden a la concesión de la suspensión: la condena de prisión impuesta a su representado, de tres años y tres meses de privación de libertad, está muy por debajo de la frontera de los cinco años de prisión que ha venido admitiendo el Tribunal Constitucional como criterio de gravedad de la pena a tener en cuenta para admitir la suspensión solicitada; la suspensión no supone una perturbación grave de los intereses generales ni ocasiona daño a los derechos de terceros, dado que el recurrente no fue autor material de los homicidios por los que ha sido condenado y su actuación ha sido calificada como imprudente; a lo dicho se añade que el recurrente no cuenta con antecedentes penales, ha estado siempre a disposición judicial y ha acreditado una intachable conducta, con una integración social y familiar fuera de toda duda; finalmente se aduce que las responsabilidades civiles derivadas del pleito han sido plenamente satisfechas a los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10 de febrero de 2014, y tras admitir el recurso por providencia fechada en el mismo día, acordó la formación de pieza separada para la tramitación del incidente sobre la suspensión solicitada; asimismo, acordó conceder a la parte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presentó escrito de alegaciones con fecha 18 de febrero de 2014, reiterándose en la petición de suspensión solicitada y en los argumentos ya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24 de febrero de 2014, presentó alegaciones. Considera que procede acceder a la suspensión de la pena privativa de libertad de tres años y tres meses de prisión y de la accesoria de inhabilitación especial para el derecho de sufragio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citado escrito pone de manifiesto que si bien es cierto que es jurisprudencia constitucional reiterada que la suspensión de la ejecución de las resoluciones firmes es una medida excepcional, no lo es menos que dicha doctrina, reseñada en él, ha sido matizada por el propio Tribunal Constitucional. En concreto, y en relación con el criterio de la gravedad de la pena, señala que la doctrina constitucional ha adoptado como directriz inicial la de que la pena se sitúe por encima o por debajo de la frontera de cinco años de prisión, que es la que sirve al legislador para diferenciar entre las penas graves y las menos graves (ATC 61/2013, de 27 de febrero, y 75/2013, de 8 de abril). Al respecto hace notar cómo la prisión impuesta al ahora recurrente, de una duración de tres años y tres meses, es notoriamente inferior a los límites por los que habitualmente se concede la suspensión, según los parámetros de referencia citados. A ello debe unirse que el tiempo de tramitación del recurso de amparo podría hacer ilusorio un eventual pronunciamiento favorable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termina su argumentación afirmando que acceder a la suspensión solicitada no ocasionaría una lesión específica y grave del interés general, más allá de la genérica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(AATC 124/2012, de 18 de junio, FJ 1, y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también ha dicho que la acreditación del perjuicio es carga del recurrente, quien debe precisar los que deriven de la ejecución,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(AATC 81/2012, de 7 de mayo, FJ 3, y 250/2013,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penas de privación de libertad, “este Tribunal ha afirmado que procede, en principio, acordar su suspensión al afectar a un bien de imposible o muy difícil restitución, pero destacando que este criterio general tampoco es absoluto, ya que en estos supuestos deben ponderarse otras circunstancias relevantes, significativamente la duración y gravedad de la pena impuesta porque en ella se expresa la reprobación que el ordenamiento asigna al hecho delictivo y, por consiguiente, la magnitud del interés general en su ejecución” (ATC 250/2013, de 4 de noviembre, FJ 3). En concreto, se ha asumido “que la directriz principal a tener en cuenta es si la pena se sitúa por encima o debajo del umbral de los cinco años (AATC 16/2009, de 26 de enero; 18/2011, de 28 de febrero, FJ 2; y 61/2013, de 27 de febrero; FJ 2), puesto que ésa es la frontera establecida por el legislador para diferenciar las penas graves de las menos graves, conforme a lo dispuesto en el artículo 33 del Código penal (ATC 44/2012, de 12 de marzo, FJ 2)” (ATC 19/2014,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este Tribunal también ha afirmado que la suspensión de la pena privativa de libertad debe conllevar la suspensión de las penas accesorias de inhabilitación que lleven aparejadas (AATC 58/2012, de 26 de marzo, FJ 2, y 21/2014,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al presente caso de la doctrina expuesta, procede la suspensión instada por el recurrente, pues la duración de la condena de privación de libertad recaída —tres años y tres meses— se halla por debajo del margen de gravedad con que, como regla general, opera este Tribunal, y de no suspenderse la pena privativa de libertad, podría ocasionarse al recurrente un perjuicio irreparable. Además, “de la concesión de la suspensión no se deriva perturbación grave de los intereses generales, ni de los derechos fundamentales o libertades públicas de un tercero más allá del genérico que toda inejecución de una resolución judicial comporta” (ATC 61/2013, de 27 de febrero, FJ 3; en el mismo sentido, ATC 270/2002, de 11 de diciembre,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del Juzgado de lo Penal núm. 3 de Santa Cruz de Tenerife, de 13 de abril de 2011, dictada en procedimiento abreviado núm. 346-2010, confirmada por la Sentencia de 11 de abril de 2013, dictada en apelación por la Sección Quinta de la Audiencia Provincial de Santa Cruz de Tenerife (rollo 72-2012), en cuanto a la pena de prisión de tres años y tres meses y a la accesoria de inhabilitación especial para el derecho de sufragio pasivo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