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junio de 2013, el Procurador de los Tribunales don Julián del Olmo Pastor, en nombre y representación de Emyplan, S.L., interpuso demanda de amparo contra el Auto de la Sala de lo Civil del Tribunal Supremo de 2 de abril de 2013, por el que se inadmite el recurso de casación núm. 1789-2012, dando lugar al presente recurso de amparo,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30 de ener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3375-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