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5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3224-2012, promovido por don Jesús María Uribechevarría Bolinaga, representado por el Procurador de los Tribunales don Javier Cuevas Rivas y asistido por la Abogada doña Ainhoa Baglietto Gabilondo, contra el Auto de la Sección Tercera de la Sala de lo Penal de la Audiencia Nacional de 30 de junio de 2011, dictado en la ejecutoria núm. 9-2001, correspondiente al rollo de Sala núm. 104-1997, procedente del sumario núm. 12-1997 del Juzgado Central de Instrucción núm. 5; contra el Auto de 1 de marzo de 2012 de la Sala de lo Penal del Tribunal Supremo (recurso núm. 11602-2011), que acuerda no haber lugar a la admisión del recurso de casación interpuesto contra el anterior; y contra la providencia de 11 de mayo de 2012 de la misma Sala por la que se acuerda la inadmisión del incidente de nulidad interpuesto contra el último Auto.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25 de mayo de 2012 en el Decanato de los Juzgados de Madrid conforme a lo previsto en el art. 85.2 de la Ley Orgánica del Tribunal Constitucional (LOTC), que fue recibido en el Registro General de este Tribunal el 31 de mayo siguiente, el Procurador de los Tribunales don Javier Cuevas Rivas, en nombre y representación de don Jesús María Uribechevarría Bolinaga y bajo la dirección de la Abogada doña Ainhoa Baglietto Gabilondo,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el examen de la pretensión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en siete procesos penales distintos a diversas penas de prisión, que suman un total de doscientos noventa y tres años, ocho meses y un día de privación de libertad. En todas estas causas permaneció cautelarmente en situación de prisión provisional y de forma simultánea por varias causas, coincidiendo diversos periodos de prisión preventiva con la condición de penado. Específicamente, en la causa seguida ante la Sección Tercera de la Sala de lo Penal de la Audiencia Nacional como rollo núm. 104-1997 (sumario núm. 12-1997), en la que recayó Sentencia condenatoria el 10 de noviembre de 2000, permaneció como preso preventivo desde el 6 de julio de 1997 hasta el 16 de enero de 2001, coincidiendo el periodo de prisión provisional con la situación de penado desde el 7 de septiembre de 1998 hasta el 16 de enero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28 de marzo de 2001, la Sección Tercera de la Sala de lo Penal de la Audiencia Nacional acordó acumular todas las condenas impuestas al penado (arts. 17.5 y 988 de la Ley de enjuiciamiento criminal), fijando en treinta años de privación de libertad el límite máximo de cumplimiento por todas las penas, conforme a la regla 2 del Código penal de 1973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providencia de 25 de junio de 2002, la Sección Tercera de la Sala de lo Penal de la Audiencia Nacional aprobó la liquidación de condena practicada por el Secretario judicial, conforme a la cual de los treinta años de privación de libertad (10.950 días) que había de cumplir el penado deben descontarse los 428 días que permaneció en prisión preventiva en la causa núm. 104-1997 (desde el 6 de julio de 1997 hasta el 6 de septiembre de 1998), lo que determina un total de cumplimiento de 10.522 días, fijándose como fecha de extinción el 28 de junio de 2027.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3 de enero de 2011 el recurrente solicitó a la Sección Tercera de la Sala de lo Penal de la Audiencia Nacional, con fundamento en la STC 57/2008, de 28 de abril, que se practicara nueva liquidación de condena, abonándosele el periodo de prisión preventiva desde la firmeza de la Sentencia dictada en una de las causas por la que fue condenado (Sentencia de 29 de junio de 1998, dictada por la Sección Primera de la misma Sala en el rollo núm. 1-1996), hasta la firmeza de la Sentencia dictada el 10 de noviembre de 2000 por la Sección Tercera en el rollo núm. 104-1997, dimanante del sumario núm. 12-1997.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30 de junio de 2011, la Sección Tercera de la Sala de lo Penal de la Audiencia Nacional, de conformidad con el informe del Ministerio Fiscal, desestimó la petición del recurrente y mantuvo la liquidación de condena aprobada, razonando que los abonos del tiempo de prisión preventiva, coincidan o no con periodos de cumplimiento de condena, se aplican en función del cumplimiento cronológico de las penas impuestas, en virtud de los arts. 75 y 76 CP 1973 y la jurisprudencia al respecto, recogida en la Sentencia de la Sala de lo Penal del Tribunal Supremo de 28 de marzo de 2011; por ello, al hacerse el cómputo de la prisión preventiva sobre la totalidad de la condena en función del referido criterio progresivo, el abono del periodo interesado carecería de consecuencias prácticas a efectos de cumplimiento efectivo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demandante de amparo recurrió en casación dicha resolución judicial. Por Auto de 1 de marzo de 2012 (recurso núm. 11602-2011), la Sala de lo Penal del Tribunal Supremo acuerda no haber lugar a la admisión del recurso de casación. El Tribunal Supremo confirmó la resolución recurrida razonando que, en virtud de la jurisprudencia de la propia Sala de lo Penal (por todas, Sentencias de 24 de marzo de 2010 y 11 de junio de 2010) y de la doctrina sentada por el Tribunal Constitucional en su STC 57/2008, sobre la interpretación que ha de efectuarse del art. 58.1 CP a efectos de abono del tiempo de prisión preventiva coincidentes con periodos de cumplimiento de condena, la pretensión del recurrente debe ser rechazada, pues lo que postula es que se le abone doblemente el tiempo de prisión preventiva sufrido en las causas que señala, cuando resulta que ese periodo ya ha sido tenido en cuenta y abonado en otras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del recurrente promovió incidente de nulidad de actuaciones ex art. 241.1 de la Ley Orgánica del Poder Judicial contra el Auto por violación de los derechos fundamentales a la libertad (art. 17.1 CE) y a la tutela judicial efectiva (art. 24.1 CE), siendo inadmitido el incidente por providencia de 11 de mayo de 2012, al entender la Sala que se limita a reiterar los argumentos ya formulados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afirma en su demanda de amparo que las resoluciones judiciales impugnadas han vulnerado su derecho fundamental a la libertad (art. 17.1 CE),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que dicha vulneración se ha producido al no habérsele abonado, para el cumplimiento de las penas acumuladas que extingue, el tiempo de prisión provisional sufrido desde la firmeza de la Sentencia dictada en una de las causas por la que fue condenado (Sentencia de 29 de junio de 1998, dictada por la Sección Primera de la Sala de lo Penal de la Audiencia Nacional en el rollo núm. 1-1996), hasta la firmeza de la Sentencia dictada el 10 de noviembre de 2000 por la Sección Tercera de la misma Sala en el rollo núm. 104-1997 (esto es, desde el 7 de septiembre de 1998 hasta el 16 de enero de 2001), tal y como preveía el art. 58.1 CP (redacción anterior a su reforma por Ley Orgánica 15/2003, de 25 de noviembre), y como resulta de la doctrina sentada por este Tribunal en la STC 57/2008, de la que se apartan las resoluciones judiciales impugnadas, según el recurrente; ello supone un alargamiento ilegítimo del tiempo de permanencia en prisión, vulnerando así su derecho fundamental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recurrente solicitando que se le otorgue el amparo, con declaración de nulidad de las resoluciones judiciales impugnadas y ordenando que se retrotraigan las actuaciones al momento inmediatamente anterior a dictarse el Auto de la Sección Tercera de la Sala de lo Penal de la Audiencia Nacional de 30 de junio de 2011, a fin de que por este órgano judicial se proceda a dictar nueva resolución, respetuosa con los derechos fundamentales a la libertad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diciembre de 2012, la Sala Primera de este Tribunal acordó la admisión a trámite del recurso de amparo y, en aplicación de lo previsto en el art. 51 LOTC, ordenó dirigir atenta comunicación a la Sala de lo Penal del Tribunal Supremo y al Servicio de ejecutorias penales de la Audiencia Nacional, a fin de que, respectivamente, en el plazo de diez días, remitieran certificación o fotocopia adverada de las actuaciones correspondientes al recurso de casación núm. 11602-2011 y a la ejecutoria núm. 9-2001 de la Sección Tercera de la Sala de lo Penal de la Audiencia Nacional; y para que se emplazara por este órgano judicial a quienes hubieran sido parte en el procedimiento, excepto al recurrente,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cumplimentados los emplazamientos requeridos, por diligencia de ordenación del Secretario de Justicia de la Sala Primera de 11 de enero de 2013 se dio vista de las actuaciones a las partes personadas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alegaciones mediante escrito registrado en este Tribunal el día 20 de febrero de 2013, en el que, tras exponer los antecedentes procesales de los que trae causa el asunto y los argumentos expuestos por el recurrente, solicitó el otorgamiento del amparo, por las razones que seguidamente resumimos.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recuerda la doctrina sentada por este Tribunal en la STC 57/2008, así como en las SSTC 92/2012, de 7 de mayo; 158/2012, de 17 de septiembre, y 193/2012, de 29 de octubre, sobre el abono, para el cumplimiento de la pena de prisión impuesta, del tiempo de prisión preventiva sufrido por el penado, e indica que el examen de las circunstancias concurrentes en el presente caso conduce a la conclusión de que las resoluciones judiciales impugnadas no se acomodan a la referida doctrina constitucional. El recurrente pretende que se le compute para el cumplimiento efectivo de la pena de treinta años de prisión el tiempo de prisión preventiva que sufrió desde la firmeza de la Sentencia de 29 de junio de 1998, dictada por la Sección Primera de la Sala de lo Penal de la Audiencia Nacional en el rollo núm. 1-1996, hasta la firmeza de la Sentencia dictada el 10 de noviembre de 2000 por la Sección Tercera de la misma Sala en el rollo núm. 104-1997 (esto es, desde el 7 de septiembre de 1998 hasta el 16 de enero de 2001). Entiende el Fiscal que dicha pretensión debió ser estimada por la Audiencia Nacional, porque el indicado periodo de prisión preventiva, simultáneo al de cumplimiento de condena, no fue tenido en cuenta en la liquidación de condena practicada, exclusión que carece de cobertura normativa y que entra en contradicción con la doctrina establecida en la STC 57/2008. Por ello considera el Fiscal que las resoluciones judiciales recurridas en amparo han vulnerado el derecho a la libertad personal (art. 17.1 CE) del recurrente, por lo que deben ser anuladas para que la Sección Tercera de la Sala de lo Penal de la Audiencia Nacional dicte nueva resolución respetuosa con 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abril de 2014 se acordó señalar para deliberación y votación de la presente Sentencia el día 5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decisión judicial de no computar un determinado periodo de tiempo, en que el recurrente había simultaneado la condición de preso preventivo y de penado, para el abono de la prisión provisional en una ejecutoria en que se había acordado la acumulación de las condenas impuestas en diversas causas, fijando en treinta años de prisión el límite máximo de cumplimiento, ha vulnerado sus derechos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ya se ha pronunciado en Pleno sobre esta cuestión en la STC 35/2014, de 27 de febrero (“Boletín Oficial del Estado” núm. 73, de 25 de marzo de 2014), declarando que no vulnera el art. 17.1 CE la no aplicación de la jurisprudencia del doble cómputo establecida en la STC 57/2008, de 28 de abril, en los supuestos en que se haya establecido un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de 22 de junio—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(reiterada por la STC 55/2014, de 10 de abril) a las resoluciones impugnadas, podemos afirmar que el argumento contemplado en las mismas por el que se rechaza la solicitud de incluir en la liquidación como tiempo de abono el periodo comprendido desde el 7 de septiembre de 1998 hasta el 16 de enero de 2001, en que el recurrente simultaneó la situación de preso preventivo con la de penado, no puede tacharse de irrazonable. En efecto, la decisión judicial de no incluir en la liquidación el periodo de tiempo referido se fundamenta en que ya ha sido tenido en cuenta y abonado con ocasión de otra causa que cumple el recurrente, sin que la ley penal le otorgue el derecho a que todos los periodos de prisión preventiva simultáneos a la situación de penado le sean descontados del límite máximo de cumplimiento efectivo de las condenas acumuladas, fijado en su caso en treinta años. Esta interpretación de la legalidad no es contraria a la Constitución, pues, como señala la citada STC 35/2014, FJ 5, no es constitucionalmente exigible una interpretación conjunta de los arts. 58.1, 75 y 76 CP que imponga una y otra vez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resoluciones judiciales impugnadas no han producido la alegada lesión del derecho a la libertad del demandante (art. 17.1 CE), al no contravenir lo dispuesto en el 58.1 CP, ni quebrantar tampoco el fundamento y los fines que justifican la acumulación jurídica (art. 76 CP), “a saber, mitigar el rigor de la acumulación material de penas, superando la finalidad meramente retributiva de la pena y acomodando la actividad punitiva a la conformación del Estado como Estado social y democrático” (STC 35/2014, FJ 6), lo cual nos lleva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Jesús María Uribechevarría Bolinaga.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3224-2012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con la fundamentación jurídica de la Sentencia y con su fallo por las mismas razones expuestas en el Voto particular que formulamos en la STC 35/2014, de 27 de febrero, a cuyo contenido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mayo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