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enero de 2013, el Procurador de los Tribunales don Alejandro González Salinas, en nombre y representación de la asociación de padres de alumnos “Torrevelo”, del colegio homónimo, con la asistencia del Letrado don Valeriano Hernández-Tavera Martín, interpuso demanda de amparo contra las resoluciones de la Consejería de Educación y del Consejo de Gobierno de Cantabria de 14 de abril y 13 de agosto de 2009; contra la Sentencia de 22 de junio de 2011 de la Sección Primera de la Sala de lo Contencioso-Administrativo del Tribunal Superior de Justicia de Cantabria, dictada en el procedimiento ordinario núm. 545-2009; y contra la Sentencia y el Auto dictados el 23 de julio y el 29 de noviembre de 2012, respectivamente, por la Sección Cuarta de la Sala de lo Contencioso-Administrativo del Tribunal Supremo en el recurso de casación núm. 4591-2011.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6 de mayo de 2013, acordó admitir a trámite la demanda; y el Pleno del Tribunal, por providencia de 24 de septiembre de 2013, conforme a lo establecido en el art. 10.1 n) de la Ley Orgánica del Tribunal Constitucional (LOTC), acordó recabar para sí su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23 de abril de 2014, el Magistrado don Ricardo Enríquez Sancho comunicó a los efectos oportunos su propósito de abstenerse de intervenir en el mencionado recurso de amparo, de conformidad con los arts. 219.11 de la Ley Orgánica del Poder Judicial y 80 LOTC, por haber formado parte de la Sección Cuarta de la Sala de lo Contencioso-Administrativo del Tribunal Supremo que resolvió el recurso de casación núm. 4591-2011 mediante la Sentencia de 23 de julio de 2012, que es objeto de impugnación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este Tribunal, el Pleno, en virtud de lo previsto en el art. 219.11 de la Ley Orgánica del Poder Judicial, supletoria en este punto de la Ley Orgánica del Tribunal Constitucional (art. 80), estima justificada la causa de abstención manifestada, puesto que el mencionado Magistrado formó parte de la Sección Cuarta de la Sala de lo Contencioso-Administrativo del Tribunal Supremo que, resolviendo el recurso de casación núm. 4591-2011, dictó la Sentencia de 23 de julio de 2012 y el posterior Auto de 29 de noviembre de 2012, que son objeto de impugnación en el presente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210-2013, quien queda apartado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