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21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14 de febrero de 2012, el Procurador de los Tribunales don Carlos Ibáñez de la Cadiniere, en nombre y representación de don Félix García Masero, interpuso demanda de amparo contra la providencia de la Sala de lo Civil del Tribunal Supremo de 4 de octubre de 2011, por la que se inadmite el incidente de nulidad de actuaciones contra el Auto de 15 de noviembre de 2011, por el que se inadmite el recurso de casación núm. 2186-2010, dando lugar al presente recurso de amparo,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21 de abril de 2014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Juan Antonio Xiol Ríos en el recurso de amparo núm. 860-2012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