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21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julio de 2013, el Procurador de los Tribunales don Javier Cuevas Rivas, en nombre y representación de don Iñaki Gonzalo Casal, interpuso demanda de amparo contra el Auto de la Sala de lo Penal del Tribunal Supremo de 9 de mayo de 2013, por el que se declara no haber lugar a la admisión del recurso de casación núm. 10092-2013 interpuesto contra el Auto de la Sección Tercera de la Sala de lo Penal de la Audiencia Nacional de 21 de diciembre de 2012 en la ejecutoria núm. 32-1997, sobre licenciamiento.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por providencia de 26 de febrero de 2014, recibidas las actuaciones y a la vista del Auto de la Sección Tercera de la Sala de lo Penal de la Audiencia Nacional de 29 de noviembre de 2013 acordando la puesta en libertad del recurrente y declarando extinguidas sus responsabilidades penales, acordó conceder un plazo de cinco días a las partes personadas para que, en virtud del art. 84 de la Ley Orgánica del Tribunal Constitucional, alegaran lo que estimaran conveniente sobre la perdida de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presentó alegaciones mediante escrito registrado el 3 de abril de 2014, en el que consideró que existía pérdida sobrevenida de objeto del recurso de amparo al haberse producido, tras la admisión de la demanda, la reparación de la lesión del derecho a la libertad del demandante, por lo que solicitaba el archivo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alegaciones mediante escrito registrado el 4 de abril de 2014, en el que consideró que existía la pérdida sobrevenida de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los Autos se desprende que la Sección Tercera de la Sala de lo Penal de la Audiencia Nacional resolvió hacer extensiva la aplicación de la Sentencia del Tribunal Europeo de Derechos Humanos de 21 de octubre de 2013 por la similitud existente con las pretensiones del demandante de amparo y, en consecuencia, descontar las redenciones de pena por el trabajo del máximo de cumplimiento, acordando la inmediata puesta en libertad del recurrente y declarando extinguidas sus responsabilidades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satisfecha la pretensión que el demandante sostuvo en su recurso de amparo y habiéndose decretado su puesta en libertad, de conformidad con lo dispuesto en los arts. 80 y 86.1 de la Ley Orgánica del Tribunal Constitucional (LOTC), en relación con el art. 22 de la Ley de enjuiciamiento civil, procede declarar la perdida de objeto del presente recurso, en tanto que la continuación del proceso no satisface ningún interés.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